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How the Marshall Plan shaped Western European economic recovery between 1948 and 1952</w:t>
      </w: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Instructor: [Name, Academic Title]</w:t>
      </w:r>
    </w:p>
    <w:p>
      <w:pPr>
        <w:spacing w:before="120" w:after="120"/>
        <w:ind w:firstLine="0"/>
        <w:jc w:val="center"/>
      </w:pP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24"/>
        </w:rPr>
        <w:t>2026</w:t>
      </w:r>
    </w:p>
    <w:p>
      <w:pPr>
        <w:pageBreakBefore/>
        <w:spacing w:after="240"/>
        <w:ind w:firstLine="0" w:left="0"/>
        <w:jc w:val="center"/>
      </w:pPr>
      <w:r>
        <w:rPr>
          <w:rFonts w:ascii="Times New Roman" w:hAnsi="Times New Roman"/>
          <w:b/>
          <w:sz w:val="28"/>
        </w:rPr>
        <w:t>Contents</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4"/>
        </w:rPr>
        <w:t>Introduction</w:t>
      </w:r>
      <w:r>
        <w:fldChar w:fldCharType="end"/>
      </w:r>
      <w:r>
        <w:rPr>
          <w:rFonts w:ascii="Times New Roman" w:hAnsi="Times New Roman"/>
          <w:sz w:val="24"/>
        </w:rPr>
        <w:tab/>
      </w:r>
      <w:r>
        <w:fldChar w:fldCharType="begin" w:dirty="true"/>
      </w:r>
      <w:r>
        <w:instrText xml:space="preserve"> PAGEREF _Toc_heading_0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4"/>
        </w:rPr>
        <w:t>Mechanisms of the Marshall Plan</w:t>
      </w:r>
      <w:r>
        <w:fldChar w:fldCharType="end"/>
      </w:r>
      <w:r>
        <w:rPr>
          <w:rFonts w:ascii="Times New Roman" w:hAnsi="Times New Roman"/>
          <w:sz w:val="24"/>
        </w:rPr>
        <w:tab/>
      </w:r>
      <w:r>
        <w:fldChar w:fldCharType="begin" w:dirty="true"/>
      </w:r>
      <w:r>
        <w:instrText xml:space="preserve"> PAGEREF _Toc_heading_1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4"/>
        </w:rPr>
        <w:t>Outcomes and Impact on Economic Recovery</w:t>
      </w:r>
      <w:r>
        <w:fldChar w:fldCharType="end"/>
      </w:r>
      <w:r>
        <w:rPr>
          <w:rFonts w:ascii="Times New Roman" w:hAnsi="Times New Roman"/>
          <w:sz w:val="24"/>
        </w:rPr>
        <w:tab/>
      </w:r>
      <w:r>
        <w:fldChar w:fldCharType="begin" w:dirty="true"/>
      </w:r>
      <w:r>
        <w:instrText xml:space="preserve"> PAGEREF _Toc_heading_2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"_Toc_heading_3" </w:instrText>
      </w:r>
      <w:r>
        <w:fldChar w:fldCharType="separate"/>
      </w:r>
      <w:r>
        <w:rPr>
          <w:rFonts w:ascii="Times New Roman" w:hAnsi="Times New Roman"/>
          <w:sz w:val="24"/>
        </w:rPr>
        <w:t>Conclusion</w:t>
      </w:r>
      <w:r>
        <w:fldChar w:fldCharType="end"/>
      </w:r>
      <w:r>
        <w:rPr>
          <w:rFonts w:ascii="Times New Roman" w:hAnsi="Times New Roman"/>
          <w:sz w:val="24"/>
        </w:rPr>
        <w:tab/>
      </w:r>
      <w:r>
        <w:fldChar w:fldCharType="begin" w:dirty="true"/>
      </w:r>
      <w:r>
        <w:instrText xml:space="preserve"> PAGEREF _Toc_heading_3 \h </w:instrText>
      </w:r>
      <w:r>
        <w:fldChar w:fldCharType="separate"/>
      </w:r>
      <w:r>
        <w:rPr>
          <w:rFonts w:ascii="Times New Roman" w:hAnsi="Times New Roman"/>
          <w:sz w:val="24"/>
        </w:rPr>
        <w:t>1</w:t>
      </w:r>
      <w:r>
        <w:fldChar w:fldCharType="end"/>
      </w:r>
    </w:p>
    <w:p>
      <w:pPr>
        <w:spacing w:after="0"/>
        <w:ind w:firstLine="0" w:left="0"/>
      </w:pPr>
      <w:r>
        <w:fldChar w:fldCharType="end"/>
      </w:r>
    </w:p>
    <w:p>
      <w:pPr>
        <w:pStyle w:val="Heading1"/>
        <w:keepNext/>
        <w:spacing w:before="360"/>
      </w:pPr>
      <w:bookmarkStart w:id="100" w:name="_Toc_heading_0"/>
      <w:r>
        <w:t>Introduction</w:t>
      </w:r>
      <w:bookmarkEnd w:id="100"/>
    </w:p>
    <w:p>
      <w:r>
        <w:t>The conflict was far more destructive than World War I, with damage spread across a wider area and civilian casualties numbering in the tens of millions</w:t>
      </w:r>
      <w:r>
        <w:t>.</w:t>
      </w:r>
      <w:r>
        <w:rPr>
          <w:rStyle w:val="FootnoteReference"/>
          <w:vertAlign w:val="superscript"/>
          <w:rFonts w:ascii="Aptos" w:hAnsi="Aptos" w:cs="Aptos"/>
        </w:rPr>
        <w:footnoteReference w:id="1"/>
      </w:r>
      <w:r>
        <w:t xml:space="preserve"> Two years after the war, industrial production was still at only 70 percent of its pre-war level, and agricultural output in key countries like France and Italy was barely half of what it had been</w:t>
      </w:r>
      <w:r>
        <w:t>.</w:t>
      </w:r>
      <w:r>
        <w:rPr>
          <w:rStyle w:val="FootnoteReference"/>
          <w:vertAlign w:val="superscript"/>
          <w:rFonts w:ascii="Aptos" w:hAnsi="Aptos" w:cs="Aptos"/>
        </w:rPr>
        <w:footnoteReference w:id="2"/>
      </w:r>
      <w:r>
        <w:t xml:space="preserve"> Europe faced critical shortages of food, coal, and raw materials, and its ability to pay for imports had collapsed, creating a severe "dollar shortage"</w:t>
      </w:r>
      <w:r>
        <w:t>.</w:t>
      </w:r>
      <w:r>
        <w:rPr>
          <w:rStyle w:val="FootnoteReference"/>
          <w:vertAlign w:val="superscript"/>
          <w:rFonts w:ascii="Aptos" w:hAnsi="Aptos" w:cs="Aptos"/>
        </w:rPr>
        <w:footnoteReference w:id="3"/>
      </w:r>
      <w:r>
        <w:t xml:space="preserve"> Faced with what Secretary of State George C. Marshall called "the problem of the pittance of food, of clothing and coal and homes," the United States launched the European Recovery Program (ERP) in 1948, now known as the Marshall Plan</w:t>
      </w:r>
      <w:r>
        <w:t>.</w:t>
      </w:r>
      <w:r>
        <w:rPr>
          <w:rStyle w:val="FootnoteReference"/>
          <w:vertAlign w:val="superscript"/>
          <w:rFonts w:ascii="Aptos" w:hAnsi="Aptos" w:cs="Aptos"/>
        </w:rPr>
        <w:footnoteReference w:id="4"/>
      </w:r>
    </w:p>
    <w:p>
      <w:r>
        <w:t>The plan committed over $13 billion in U.S. aid to 16 European nations between 1948 and 1952</w:t>
      </w:r>
      <w:r>
        <w:t>.</w:t>
      </w:r>
      <w:r>
        <w:rPr>
          <w:rStyle w:val="FootnoteReference"/>
          <w:vertAlign w:val="superscript"/>
          <w:rFonts w:ascii="Aptos" w:hAnsi="Aptos" w:cs="Aptos"/>
        </w:rPr>
        <w:footnoteReference w:id="5"/>
      </w:r>
      <w:r>
        <w:t xml:space="preserve"> The common perception, or "folk image," is that this money directly funded the rebuilding of factories and infrastructure, single-handedly jumpstarting Europe's recovery</w:t>
      </w:r>
      <w:r>
        <w:t>.</w:t>
      </w:r>
      <w:r>
        <w:rPr>
          <w:rStyle w:val="FootnoteReference"/>
          <w:vertAlign w:val="superscript"/>
          <w:rFonts w:ascii="Aptos" w:hAnsi="Aptos" w:cs="Aptos"/>
        </w:rPr>
        <w:footnoteReference w:id="6"/>
      </w:r>
      <w:r>
        <w:t xml:space="preserve"> While the Marshall Plan was a critical factor in Europe’s post-war success, its true importance was not as a direct source of investment capital, which was relatively small compared to the recipient countries' economies. Instead, the plan acted as a large-scale structural adjustment program. It succeeded by pushing European governments toward free-market policies, helping them achieve financial stability, and resolving the political "wars of attrition" over economic policy that had crippled recovery after World War I</w:t>
      </w:r>
      <w:r>
        <w:t>.</w:t>
      </w:r>
      <w:r>
        <w:rPr>
          <w:rStyle w:val="FootnoteReference"/>
          <w:vertAlign w:val="superscript"/>
          <w:rFonts w:ascii="Aptos" w:hAnsi="Aptos" w:cs="Aptos"/>
        </w:rPr>
        <w:footnoteReference w:id="7"/>
      </w:r>
    </w:p>
    <w:p>
      <w:r>
        <w:t>The core of this essay, however, focuses on the plan’s less tangible but more decisive effects: how its conditionality and financial support encouraged governments to decontrol prices, balance budgets, and stabilize their economies. By breaking the cycle of inflation and political infighting, the Marshall Plan helped create the stable political-economic environment necessary for Europe’s "supergrowth"</w:t>
      </w:r>
      <w:r>
        <w:t>.</w:t>
      </w:r>
      <w:r>
        <w:rPr>
          <w:rStyle w:val="FootnoteReference"/>
          <w:vertAlign w:val="superscript"/>
          <w:rFonts w:ascii="Aptos" w:hAnsi="Aptos" w:cs="Aptos"/>
        </w:rPr>
        <w:footnoteReference w:id="8"/>
      </w:r>
    </w:p>
    <w:p>
      <w:pPr>
        <w:pStyle w:val="Heading1"/>
        <w:keepNext/>
        <w:spacing w:before="360"/>
      </w:pPr>
      <w:bookmarkStart w:id="101" w:name="_Toc_heading_1"/>
      <w:r>
        <w:t>Mechanisms of the Marshall Plan</w:t>
      </w:r>
      <w:bookmarkEnd w:id="101"/>
    </w:p>
    <w:p>
      <w:r>
        <w:t>He offered an idea: American aid to help Europe recover, with the condition that Europeans take the initiative and work together</w:t>
      </w:r>
      <w:r>
        <w:t>.</w:t>
      </w:r>
      <w:r>
        <w:rPr>
          <w:rStyle w:val="FootnoteReference"/>
          <w:vertAlign w:val="superscript"/>
          <w:rFonts w:ascii="Aptos" w:hAnsi="Aptos" w:cs="Aptos"/>
        </w:rPr>
        <w:footnoteReference w:id="9"/>
      </w:r>
    </w:p>
    <w:p>
      <w:r>
        <w:t>Closing the 'Dollar Gap' with Direct Aid</w:t>
      </w:r>
    </w:p>
    <w:p>
      <w:r>
        <w:t>The most immediate problem facing Western Europe after the war was the "dollar shortage" or "dollar gap." The issue was that the main, and sometimes only, supplier for these essential goods was the United States</w:t>
      </w:r>
      <w:r>
        <w:t>.</w:t>
      </w:r>
      <w:r>
        <w:rPr>
          <w:rStyle w:val="FootnoteReference"/>
          <w:vertAlign w:val="superscript"/>
          <w:rFonts w:ascii="Aptos" w:hAnsi="Aptos" w:cs="Aptos"/>
        </w:rPr>
        <w:footnoteReference w:id="10"/>
      </w:r>
      <w:r>
        <w:t xml:space="preserve"> Their traditional export industries were either destroyed or producing goods like expensive consumer items that were not in high demand</w:t>
      </w:r>
      <w:r>
        <w:t>.</w:t>
      </w:r>
      <w:r>
        <w:rPr>
          <w:rStyle w:val="FootnoteReference"/>
          <w:vertAlign w:val="superscript"/>
          <w:rFonts w:ascii="Aptos" w:hAnsi="Aptos" w:cs="Aptos"/>
        </w:rPr>
        <w:footnoteReference w:id="11"/>
      </w:r>
      <w:r>
        <w:t xml:space="preserve"> In addition, their ability to earn dollars from shipping, tourism, and foreign investments had been devastated by the war</w:t>
      </w:r>
      <w:r>
        <w:t>.</w:t>
      </w:r>
      <w:r>
        <w:rPr>
          <w:rStyle w:val="FootnoteReference"/>
          <w:vertAlign w:val="superscript"/>
          <w:rFonts w:ascii="Aptos" w:hAnsi="Aptos" w:cs="Aptos"/>
        </w:rPr>
        <w:footnoteReference w:id="12"/>
      </w:r>
    </w:p>
    <w:p>
      <w:r>
        <w:t>In 1947 alone, the current account deficit of the future OEEC countries with the United States was a staggering $5.6 billion</w:t>
      </w:r>
      <w:r>
        <w:t>.</w:t>
      </w:r>
      <w:r>
        <w:rPr>
          <w:rStyle w:val="FootnoteReference"/>
          <w:vertAlign w:val="superscript"/>
          <w:rFonts w:ascii="Aptos" w:hAnsi="Aptos" w:cs="Aptos"/>
        </w:rPr>
        <w:footnoteReference w:id="13"/>
      </w:r>
      <w:r>
        <w:t xml:space="preserve"> European nations were depleting their gold and dollar reserves merely to sustain their economies, and by 1948, these reserves had fallen to dangerously low levels</w:t>
      </w:r>
      <w:r>
        <w:t>.</w:t>
      </w:r>
      <w:r>
        <w:rPr>
          <w:rStyle w:val="FootnoteReference"/>
          <w:vertAlign w:val="superscript"/>
          <w:rFonts w:ascii="Aptos" w:hAnsi="Aptos" w:cs="Aptos"/>
        </w:rPr>
        <w:footnoteReference w:id="14"/>
      </w:r>
      <w:r>
        <w:t xml:space="preserve"> Between April 1948 and June 1951, the U.S. provided roughly $13 billion in aid</w:t>
      </w:r>
      <w:r>
        <w:t>.</w:t>
      </w:r>
      <w:r>
        <w:rPr>
          <w:rStyle w:val="FootnoteReference"/>
          <w:vertAlign w:val="superscript"/>
          <w:rFonts w:ascii="Aptos" w:hAnsi="Aptos" w:cs="Aptos"/>
        </w:rPr>
        <w:footnoteReference w:id="15"/>
      </w:r>
    </w:p>
    <w:p>
      <w:r>
        <w:t>This aid came in three main forms. The vast majority, about $9.2 billion, came as "unconditional grants," which were essentially gifts of goods financed by the U.S.</w:t>
      </w:r>
      <w:r>
        <w:t>.</w:t>
      </w:r>
      <w:r>
        <w:rPr>
          <w:rStyle w:val="FootnoteReference"/>
          <w:vertAlign w:val="superscript"/>
          <w:rFonts w:ascii="Aptos" w:hAnsi="Aptos" w:cs="Aptos"/>
        </w:rPr>
        <w:footnoteReference w:id="16"/>
      </w:r>
      <w:r>
        <w:t xml:space="preserve"> A smaller amount, roughly $1.1 billion, was given as long-term, low-interest loans</w:t>
      </w:r>
      <w:r>
        <w:t>.</w:t>
      </w:r>
      <w:r>
        <w:rPr>
          <w:rStyle w:val="FootnoteReference"/>
          <w:vertAlign w:val="superscript"/>
          <w:rFonts w:ascii="Aptos" w:hAnsi="Aptos" w:cs="Aptos"/>
        </w:rPr>
        <w:footnoteReference w:id="17"/>
      </w:r>
      <w:r>
        <w:t xml:space="preserve"> The focus on grants under the ERP was a recognition that Europe simply could not take on more debt</w:t>
      </w:r>
      <w:r>
        <w:t>.</w:t>
      </w:r>
      <w:r>
        <w:rPr>
          <w:rStyle w:val="FootnoteReference"/>
          <w:vertAlign w:val="superscript"/>
          <w:rFonts w:ascii="Aptos" w:hAnsi="Aptos" w:cs="Aptos"/>
        </w:rPr>
        <w:footnoteReference w:id="18"/>
      </w:r>
      <w:r>
        <w:t xml:space="preserve"> The process was highly managed: each country submitted its import needs to the Organisation for European Economic Co-operation (OEEC), which reviewed and adjusted the requests before submitting a unified program to the American Economic Cooperation Administration (ECA) for final approval</w:t>
      </w:r>
      <w:r>
        <w:t>.</w:t>
      </w:r>
      <w:r>
        <w:rPr>
          <w:rStyle w:val="FootnoteReference"/>
          <w:vertAlign w:val="superscript"/>
          <w:rFonts w:ascii="Aptos" w:hAnsi="Aptos" w:cs="Aptos"/>
        </w:rPr>
        <w:footnoteReference w:id="19"/>
      </w:r>
    </w:p>
    <w:p>
      <w:r>
        <w:t>The Economic Cooperation Administration and Counterpart Funds</w:t>
      </w:r>
    </w:p>
    <w:p>
      <w:r>
        <w:t>Headed by Paul Hoffman, a businessman described as an "economic evangelist," the ECA’s job was not just to distribute funds but to ensure they were used to promote policies the U.S. favored, such as financial stability, free markets, and high productivity</w:t>
      </w:r>
      <w:r>
        <w:t>.</w:t>
      </w:r>
      <w:r>
        <w:rPr>
          <w:rStyle w:val="FootnoteReference"/>
          <w:vertAlign w:val="superscript"/>
          <w:rFonts w:ascii="Aptos" w:hAnsi="Aptos" w:cs="Aptos"/>
        </w:rPr>
        <w:footnoteReference w:id="20"/>
      </w:r>
      <w:r>
        <w:t xml:space="preserve"> The ECA reviewed and authorized every dollar of aid spent on imports, which were purchased mostly from the United States (nearly 70%), but also from Canada and Latin America</w:t>
      </w:r>
      <w:r>
        <w:t>.</w:t>
      </w:r>
      <w:r>
        <w:rPr>
          <w:rStyle w:val="FootnoteReference"/>
          <w:vertAlign w:val="superscript"/>
          <w:rFonts w:ascii="Aptos" w:hAnsi="Aptos" w:cs="Aptos"/>
        </w:rPr>
        <w:footnoteReference w:id="21"/>
      </w:r>
    </w:p>
    <w:p>
      <w:r>
        <w:t>Perhaps the most ingenious and powerful mechanism of the plan was the system of "counterpart funds." For every dollar of grant aid a country received, its government was required to deposit an equivalent amount of its own currency into a special account. As De Long (1991, 46) points out, each dollar of aid effectively gave the U.S. control over "two dollars' worth of real resources"-the dollar for imports and the local currency equivalent in the counterpart fund.</w:t>
      </w:r>
    </w:p>
    <w:p>
      <w:r>
        <w:t>The ECA used this leverage to pursue two main goals. First, in countries struggling with high inflation, like France and Italy, the ECA could insist that counterpart funds be used for "debt retirement." This meant using the funds to pay off government debt held by the central bank, which effectively reduced the money supply and helped curb inflation</w:t>
      </w:r>
      <w:r>
        <w:t>.</w:t>
      </w:r>
      <w:r>
        <w:rPr>
          <w:rStyle w:val="FootnoteReference"/>
          <w:vertAlign w:val="superscript"/>
          <w:rFonts w:ascii="Aptos" w:hAnsi="Aptos" w:cs="Aptos"/>
        </w:rPr>
        <w:footnoteReference w:id="22"/>
      </w:r>
      <w:r>
        <w:t xml:space="preserve"> For instance, in 1948, the U.S. reportedly withheld French counterpart funds until the government raised taxes and took other steps to balance its budget</w:t>
      </w:r>
      <w:r>
        <w:t>.</w:t>
      </w:r>
      <w:r>
        <w:rPr>
          <w:rStyle w:val="FootnoteReference"/>
          <w:vertAlign w:val="superscript"/>
          <w:rFonts w:ascii="Aptos" w:hAnsi="Aptos" w:cs="Aptos"/>
        </w:rPr>
        <w:footnoteReference w:id="23"/>
      </w:r>
    </w:p>
    <w:p>
      <w:r>
        <w:t>Second, the funds could be used to direct investment. The ECA had to approve any use of the 95% of counterpart funds designated for domestic recovery; the other 5% was for American administrative costs</w:t>
      </w:r>
      <w:r>
        <w:t>.</w:t>
      </w:r>
      <w:r>
        <w:rPr>
          <w:rStyle w:val="FootnoteReference"/>
          <w:vertAlign w:val="superscript"/>
          <w:rFonts w:ascii="Aptos" w:hAnsi="Aptos" w:cs="Aptos"/>
        </w:rPr>
        <w:footnoteReference w:id="24"/>
      </w:r>
      <w:r>
        <w:t xml:space="preserve"> In West Germany, the ECA pushed for counterpart funds to be invested in "critical sectors" of the economy</w:t>
      </w:r>
      <w:r>
        <w:t>.</w:t>
      </w:r>
      <w:r>
        <w:rPr>
          <w:rStyle w:val="FootnoteReference"/>
          <w:vertAlign w:val="superscript"/>
          <w:rFonts w:ascii="Aptos" w:hAnsi="Aptos" w:cs="Aptos"/>
        </w:rPr>
        <w:footnoteReference w:id="25"/>
      </w:r>
      <w:r>
        <w:t xml:space="preserve"> In 1949, 90% of the Monnet Plan's Modernization Fund came from Marshall Plan counterpart funds</w:t>
      </w:r>
      <w:r>
        <w:t>.</w:t>
      </w:r>
      <w:r>
        <w:rPr>
          <w:rStyle w:val="FootnoteReference"/>
          <w:vertAlign w:val="superscript"/>
          <w:rFonts w:ascii="Aptos" w:hAnsi="Aptos" w:cs="Aptos"/>
        </w:rPr>
        <w:footnoteReference w:id="26"/>
      </w:r>
    </w:p>
    <w:p>
      <w:r>
        <w:t>Conditionality and the Push for a New Economic Model</w:t>
      </w:r>
    </w:p>
    <w:p>
      <w:r>
        <w:t>The counterpart fund system was just one part of a broader strategy of "conditionality." To receive aid, each nation had to sign a bilateral agreement with the U.S. pledging to work toward balanced budgets, stable exchange rates, and the reduction of trade barriers</w:t>
      </w:r>
      <w:r>
        <w:t>.</w:t>
      </w:r>
      <w:r>
        <w:rPr>
          <w:rStyle w:val="FootnoteReference"/>
          <w:vertAlign w:val="superscript"/>
          <w:rFonts w:ascii="Aptos" w:hAnsi="Aptos" w:cs="Aptos"/>
        </w:rPr>
        <w:footnoteReference w:id="27"/>
      </w:r>
      <w:r>
        <w:t xml:space="preserve"> The Marshall Planners were clear about their goals: to create a "political economy conducive to economic growth"</w:t>
      </w:r>
      <w:r>
        <w:t>.</w:t>
      </w:r>
      <w:r>
        <w:rPr>
          <w:rStyle w:val="FootnoteReference"/>
          <w:vertAlign w:val="superscript"/>
          <w:rFonts w:ascii="Aptos" w:hAnsi="Aptos" w:cs="Aptos"/>
        </w:rPr>
        <w:footnoteReference w:id="28"/>
      </w:r>
      <w:r>
        <w:t xml:space="preserve"> This meant pushing European economies to have "more 'market' and less 'controls' in the mix"</w:t>
      </w:r>
      <w:r>
        <w:t>.</w:t>
      </w:r>
      <w:r>
        <w:rPr>
          <w:rStyle w:val="FootnoteReference"/>
          <w:vertAlign w:val="superscript"/>
          <w:rFonts w:ascii="Aptos" w:hAnsi="Aptos" w:cs="Aptos"/>
        </w:rPr>
        <w:footnoteReference w:id="29"/>
      </w:r>
    </w:p>
    <w:p>
      <w:r>
        <w:t>When the British Labour government used resources for a public housing program, the ECA retaliated by cutting Marshall Plan funding for timber imports</w:t>
      </w:r>
      <w:r>
        <w:t>.</w:t>
      </w:r>
      <w:r>
        <w:rPr>
          <w:rStyle w:val="FootnoteReference"/>
          <w:vertAlign w:val="superscript"/>
          <w:rFonts w:ascii="Aptos" w:hAnsi="Aptos" w:cs="Aptos"/>
        </w:rPr>
        <w:footnoteReference w:id="30"/>
      </w:r>
      <w:r>
        <w:t xml:space="preserve"> The Americans also successfully lobbied against British plans to nationalize the coal industries in the Ruhr</w:t>
      </w:r>
      <w:r>
        <w:t>.</w:t>
      </w:r>
      <w:r>
        <w:rPr>
          <w:rStyle w:val="FootnoteReference"/>
          <w:vertAlign w:val="superscript"/>
          <w:rFonts w:ascii="Aptos" w:hAnsi="Aptos" w:cs="Aptos"/>
        </w:rPr>
        <w:footnoteReference w:id="31"/>
      </w:r>
      <w:r>
        <w:t xml:space="preserve"> This push was not just about economic theory; it was also deeply tied to the Cold War. By strengthening market-based economies and supporting non-communist labor unions, the U.S. hoped to create a bulwark against Soviet influence</w:t>
      </w:r>
      <w:r>
        <w:t>.</w:t>
      </w:r>
      <w:r>
        <w:rPr>
          <w:rStyle w:val="FootnoteReference"/>
          <w:vertAlign w:val="superscript"/>
          <w:rFonts w:ascii="Aptos" w:hAnsi="Aptos" w:cs="Aptos"/>
        </w:rPr>
        <w:footnoteReference w:id="32"/>
      </w:r>
    </w:p>
    <w:p>
      <w:r>
        <w:t>Beyond financial aid, the plan included technical assistance, which later became more formalized under President Truman's "Point Four" program</w:t>
      </w:r>
      <w:r>
        <w:t>.</w:t>
      </w:r>
      <w:r>
        <w:rPr>
          <w:rStyle w:val="FootnoteReference"/>
          <w:vertAlign w:val="superscript"/>
          <w:rFonts w:ascii="Aptos" w:hAnsi="Aptos" w:cs="Aptos"/>
        </w:rPr>
        <w:footnoteReference w:id="33"/>
      </w:r>
      <w:r>
        <w:t xml:space="preserve"> At the same time, the U.S. used its influence to gain access to strategic raw materials from Europe's overseas territories, particularly in Africa</w:t>
      </w:r>
      <w:r>
        <w:t>.</w:t>
      </w:r>
      <w:r>
        <w:rPr>
          <w:rStyle w:val="FootnoteReference"/>
          <w:vertAlign w:val="superscript"/>
          <w:rFonts w:ascii="Aptos" w:hAnsi="Aptos" w:cs="Aptos"/>
        </w:rPr>
        <w:footnoteReference w:id="34"/>
      </w:r>
      <w:r>
        <w:t xml:space="preserve"> The mechanisms of the plan thus served a mix of interests: European recovery, American security, and American economic needs.</w:t>
      </w:r>
    </w:p>
    <w:p>
      <w:pPr>
        <w:pStyle w:val="Heading1"/>
        <w:keepNext/>
        <w:spacing w:before="360"/>
      </w:pPr>
      <w:bookmarkStart w:id="102" w:name="_Toc_heading_2"/>
      <w:r>
        <w:t>Outcomes and Impact on Economic Recovery</w:t>
      </w:r>
      <w:bookmarkEnd w:id="102"/>
    </w:p>
    <w:p>
      <w:r>
        <w:t>Evaluating the success of the Marshall Plan is more complicated than examining the dollar figures alone. While the direct financial aid was considerable, its true impact was arguably felt in the structural, political, and psychological changes it helped bring about in Western Europe between 1948 and 1952. This period launched an era of unprecedented expansion; the economic boom that followed in the two decades after the Marshall Plan saw Western European GDP grow at 4.8 percent per year, a rate twice as fast as any comparable pre-war period</w:t>
      </w:r>
      <w:r>
        <w:t>.</w:t>
      </w:r>
      <w:r>
        <w:rPr>
          <w:rStyle w:val="FootnoteReference"/>
          <w:vertAlign w:val="superscript"/>
          <w:rFonts w:ascii="Aptos" w:hAnsi="Aptos" w:cs="Aptos"/>
        </w:rPr>
        <w:footnoteReference w:id="35"/>
      </w:r>
      <w:r>
        <w:t xml:space="preserve"> The historical debate over the plan's importance continues, with some scholars viewing it as the central pillar of this recovery and others seeing it as merely an accelerator for a process that was already underway. A close look at the evidence suggests the plan's effects were both direct and indirect, fundamentally altering the environment in which Europe rebuilt itself.</w:t>
      </w:r>
    </w:p>
    <w:p>
      <w:r>
        <w:t>One of the most immediate and measurable impacts of the Marshall Plan was on production and trade. Post-war Europe was plagued by critical shortages of intermediate goods, which created bottlenecks that stalled entire industries</w:t>
      </w:r>
      <w:r>
        <w:t>.</w:t>
      </w:r>
      <w:r>
        <w:rPr>
          <w:rStyle w:val="FootnoteReference"/>
          <w:vertAlign w:val="superscript"/>
          <w:rFonts w:ascii="Aptos" w:hAnsi="Aptos" w:cs="Aptos"/>
        </w:rPr>
        <w:footnoteReference w:id="36"/>
      </w:r>
      <w:r>
        <w:t xml:space="preserve"> Marshall aid directly addressed this by financing imports of essential materials, mostly from the dollar area. The scale of this support was massive; in countries like France, the Netherlands, and Austria, European Recovery Program (ERP) aid financed over 90% of their imports from the United States in certain years</w:t>
      </w:r>
      <w:r>
        <w:t>.</w:t>
      </w:r>
      <w:r>
        <w:rPr>
          <w:rStyle w:val="FootnoteReference"/>
          <w:vertAlign w:val="superscript"/>
          <w:rFonts w:ascii="Aptos" w:hAnsi="Aptos" w:cs="Aptos"/>
        </w:rPr>
        <w:footnoteReference w:id="37"/>
      </w:r>
      <w:r>
        <w:t xml:space="preserve"> This injection of raw materials, food, and fertilizer was a primary goal of the program's initial phase, which prioritized restarting production above all else</w:t>
      </w:r>
      <w:r>
        <w:t>.</w:t>
      </w:r>
      <w:r>
        <w:rPr>
          <w:rStyle w:val="FootnoteReference"/>
          <w:vertAlign w:val="superscript"/>
          <w:rFonts w:ascii="Aptos" w:hAnsi="Aptos" w:cs="Aptos"/>
        </w:rPr>
        <w:footnoteReference w:id="38"/>
      </w:r>
    </w:p>
    <w:p>
      <w:r>
        <w:t>The results were dramatic. The recovery of industrial production, which had already begun, accelerated sharply during the plan's tenure. By 1948, just three years after the war, Western European steel production had already surpassed its pre-war level-a milestone that had taken nine years to reach after World War I</w:t>
      </w:r>
      <w:r>
        <w:t>.</w:t>
      </w:r>
      <w:r>
        <w:rPr>
          <w:rStyle w:val="FootnoteReference"/>
          <w:vertAlign w:val="superscript"/>
          <w:rFonts w:ascii="Aptos" w:hAnsi="Aptos" w:cs="Aptos"/>
        </w:rPr>
        <w:footnoteReference w:id="39"/>
      </w:r>
      <w:r>
        <w:t xml:space="preserve"> With bottlenecks eased, European exports also grew rapidly. Between 1947 and 1950, French exports nearly doubled in real terms, while West Germany’s exploded from a postwar low to almost its pre-war level</w:t>
      </w:r>
      <w:r>
        <w:t>.</w:t>
      </w:r>
      <w:r>
        <w:rPr>
          <w:rStyle w:val="FootnoteReference"/>
          <w:vertAlign w:val="superscript"/>
          <w:rFonts w:ascii="Aptos" w:hAnsi="Aptos" w:cs="Aptos"/>
        </w:rPr>
        <w:footnoteReference w:id="40"/>
      </w:r>
      <w:r>
        <w:t xml:space="preserve"> Additionally, the plan aggressively pushed for the dismantling of the restrictive bilateral trade agreements that had choked intra-European commerce. American administrators, particularly the head of the Economic Cooperation Administration (ECA), Paul Hoffman, were described as evangelists for free markets and European integration</w:t>
      </w:r>
      <w:r>
        <w:t>.</w:t>
      </w:r>
      <w:r>
        <w:rPr>
          <w:rStyle w:val="FootnoteReference"/>
          <w:vertAlign w:val="superscript"/>
          <w:rFonts w:ascii="Aptos" w:hAnsi="Aptos" w:cs="Aptos"/>
        </w:rPr>
        <w:footnoteReference w:id="41"/>
      </w:r>
      <w:r>
        <w:t xml:space="preserve"> This pressure led to the 1950 creation of the European Payments Union (EPU), a system of credits that promoted multilateral trade and helped unwind the "tangled network of over 200 bilateral trade and payments agreements"</w:t>
      </w:r>
      <w:r>
        <w:t>.</w:t>
      </w:r>
      <w:r>
        <w:rPr>
          <w:rStyle w:val="FootnoteReference"/>
          <w:vertAlign w:val="superscript"/>
          <w:rFonts w:ascii="Aptos" w:hAnsi="Aptos" w:cs="Aptos"/>
        </w:rPr>
        <w:footnoteReference w:id="42"/>
      </w:r>
      <w:r>
        <w:t xml:space="preserve"> This move was vital for small, open economies like Belgium and the Netherlands, but it also served American interests by integrating its partners into a global free-trading system</w:t>
      </w:r>
      <w:r>
        <w:t>.</w:t>
      </w:r>
      <w:r>
        <w:rPr>
          <w:rStyle w:val="FootnoteReference"/>
          <w:vertAlign w:val="superscript"/>
          <w:rFonts w:ascii="Aptos" w:hAnsi="Aptos" w:cs="Aptos"/>
        </w:rPr>
        <w:footnoteReference w:id="43"/>
      </w:r>
    </w:p>
    <w:p>
      <w:r>
        <w:t>Regarding investment, however, the picture is more complex. Some scholars, like De Long (1991), have argued that the Marshall Plan's direct contribution to investment was "too small to trigger an economic miracle" (30). He estimates that the aid, which amounted to less than 3% of recipient countries' GDP, raised the share of private investment by only about one percentage point. Over the four years of the plan, this might have made Europe's economy about 2% larger than it otherwise would have been-a valuable but not transformative contribution</w:t>
      </w:r>
      <w:r>
        <w:t>.</w:t>
      </w:r>
      <w:r>
        <w:rPr>
          <w:rStyle w:val="FootnoteReference"/>
          <w:vertAlign w:val="superscript"/>
          <w:rFonts w:ascii="Aptos" w:hAnsi="Aptos" w:cs="Aptos"/>
        </w:rPr>
        <w:footnoteReference w:id="44"/>
      </w:r>
    </w:p>
    <w:p>
      <w:r>
        <w:t>This view, however, may overlook the importance of how the aid was targeted through counterpart funds. These were local currency funds that recipient governments had to set aside to match the dollar aid they received, and their release was controlled by the ECA. These funds were often channeled into key public investments. In France, for instance, counterpart funds financed 30% of the public investment under the national modernization plan, while in West Germany they accounted for 43% of investment in the vital coal sector in 1949-1950</w:t>
      </w:r>
      <w:r>
        <w:t>.</w:t>
      </w:r>
      <w:r>
        <w:rPr>
          <w:rStyle w:val="FootnoteReference"/>
          <w:vertAlign w:val="superscript"/>
          <w:rFonts w:ascii="Aptos" w:hAnsi="Aptos" w:cs="Aptos"/>
        </w:rPr>
        <w:footnoteReference w:id="45"/>
      </w:r>
      <w:r>
        <w:t xml:space="preserve"> This suggests that even if the overall investment effect was modest, the targeted use of funds could have had a much larger impact by breaking key infrastructure bottlenecks, especially in countries with poorly functioning capital markets.</w:t>
      </w:r>
    </w:p>
    <w:p>
      <w:r>
        <w:t>Perhaps the most far-reaching impact of the Marshall Plan was political and psychological. In the immediate postwar years, many European nations were caught in political gridlock, or "wars of attrition," between competing interest groups like labor and capital</w:t>
      </w:r>
      <w:r>
        <w:t>.</w:t>
      </w:r>
      <w:r>
        <w:rPr>
          <w:rStyle w:val="FootnoteReference"/>
          <w:vertAlign w:val="superscript"/>
          <w:rFonts w:ascii="Aptos" w:hAnsi="Aptos" w:cs="Aptos"/>
        </w:rPr>
        <w:footnoteReference w:id="46"/>
      </w:r>
      <w:r>
        <w:t xml:space="preserve"> Disagreements over who should bear the costs of reconstruction led to large budget deficits, which were then financed by printing money, fueling rampant inflation. The Marshall Plan helped break this stalemate. By providing an external source of funds, it "increased the size of the pie" and reduced the amount of sacrifice required from any single group, making political compromise far more achievable</w:t>
      </w:r>
      <w:r>
        <w:t>.</w:t>
      </w:r>
      <w:r>
        <w:rPr>
          <w:rStyle w:val="FootnoteReference"/>
          <w:vertAlign w:val="superscript"/>
          <w:rFonts w:ascii="Aptos" w:hAnsi="Aptos" w:cs="Aptos"/>
        </w:rPr>
        <w:footnoteReference w:id="47"/>
      </w:r>
    </w:p>
    <w:p>
      <w:r>
        <w:t>The conditionality attached to the aid was a powerful tool for enforcing economic discipline. The U.S. wielded a potent "stick" by controlling the release of counterpart funds. For example, the ECA reportedly refused to release French funds in 1948 until the government committed to balancing its budget, and Britain used the bulk of its funds to retire public debt</w:t>
      </w:r>
      <w:r>
        <w:t>.</w:t>
      </w:r>
      <w:r>
        <w:rPr>
          <w:rStyle w:val="FootnoteReference"/>
          <w:vertAlign w:val="superscript"/>
          <w:rFonts w:ascii="Aptos" w:hAnsi="Aptos" w:cs="Aptos"/>
        </w:rPr>
        <w:footnoteReference w:id="48"/>
      </w:r>
      <w:r>
        <w:t xml:space="preserve"> This American pressure pushed European governments toward policies they might have otherwise avoided, such as balancing budgets, stabilizing exchange rates, and removing price controls</w:t>
      </w:r>
      <w:r>
        <w:t>.</w:t>
      </w:r>
      <w:r>
        <w:rPr>
          <w:rStyle w:val="FootnoteReference"/>
          <w:vertAlign w:val="superscript"/>
          <w:rFonts w:ascii="Aptos" w:hAnsi="Aptos" w:cs="Aptos"/>
        </w:rPr>
        <w:footnoteReference w:id="49"/>
      </w:r>
      <w:r>
        <w:t xml:space="preserve"> This policy push was a key reason why Western Europe avoided the kind of populist overregulation and economic stagnation that plagued countries like Argentina in the same period</w:t>
      </w:r>
      <w:r>
        <w:t>.</w:t>
      </w:r>
      <w:r>
        <w:rPr>
          <w:rStyle w:val="FootnoteReference"/>
          <w:vertAlign w:val="superscript"/>
          <w:rFonts w:ascii="Aptos" w:hAnsi="Aptos" w:cs="Aptos"/>
        </w:rPr>
        <w:footnoteReference w:id="50"/>
      </w:r>
    </w:p>
    <w:p>
      <w:r>
        <w:t>The plan's overall effectiveness remains a subject of historiographical debate. Revisionist historians like Alan Milward have argued that its importance has been overstated. Milward claimed that European recovery was already well underway by 1947 and that the American diagnosis of Europe's problems was wrong, driven by a "puritanical, missionary zeal"</w:t>
      </w:r>
      <w:r>
        <w:t>.</w:t>
      </w:r>
      <w:r>
        <w:rPr>
          <w:rStyle w:val="FootnoteReference"/>
          <w:vertAlign w:val="superscript"/>
          <w:rFonts w:ascii="Aptos" w:hAnsi="Aptos" w:cs="Aptos"/>
        </w:rPr>
        <w:footnoteReference w:id="51"/>
      </w:r>
      <w:r>
        <w:t xml:space="preserve"> In his view, the plan was not essential for recovery, except perhaps in a few cases like France. In response, scholars like Michael Hogan contended that the plan was indeed critical, but as a deliberate effort to "remake the Old World in the image of the New," exporting an American-style mixed economy</w:t>
      </w:r>
      <w:r>
        <w:t>.</w:t>
      </w:r>
      <w:r>
        <w:rPr>
          <w:rStyle w:val="FootnoteReference"/>
          <w:vertAlign w:val="superscript"/>
          <w:rFonts w:ascii="Aptos" w:hAnsi="Aptos" w:cs="Aptos"/>
        </w:rPr>
        <w:footnoteReference w:id="52"/>
      </w:r>
    </w:p>
    <w:p>
      <w:r>
        <w:t>More recent scholarship, however, has established a compelling middle ground. Authors like De Long and Eichengreen, and later Behrman, have argued that the plan's greatest contribution was indirect. It did not just provide money; it "alter[ed] the environment in which economic policy was made"</w:t>
      </w:r>
      <w:r>
        <w:t>.</w:t>
      </w:r>
      <w:r>
        <w:rPr>
          <w:rStyle w:val="FootnoteReference"/>
          <w:vertAlign w:val="superscript"/>
          <w:rFonts w:ascii="Aptos" w:hAnsi="Aptos" w:cs="Aptos"/>
        </w:rPr>
        <w:footnoteReference w:id="53"/>
      </w:r>
      <w:r>
        <w:t xml:space="preserve"> Its true value lay in restoring confidence. By providing a safety net and a clear framework for cooperation, the plan ended the "crisis of confidence" that was paralyzing business and government</w:t>
      </w:r>
      <w:r>
        <w:t>.</w:t>
      </w:r>
      <w:r>
        <w:rPr>
          <w:rStyle w:val="FootnoteReference"/>
          <w:vertAlign w:val="superscript"/>
          <w:rFonts w:ascii="Aptos" w:hAnsi="Aptos" w:cs="Aptos"/>
        </w:rPr>
        <w:footnoteReference w:id="54"/>
      </w:r>
      <w:r>
        <w:t xml:space="preserve"> As Jean Monnet, a key architect of European integration, put it, the economy was the "necessary basis for national independence and the preservation of democracy"</w:t>
      </w:r>
      <w:r>
        <w:t>.</w:t>
      </w:r>
      <w:r>
        <w:rPr>
          <w:rStyle w:val="FootnoteReference"/>
          <w:vertAlign w:val="superscript"/>
          <w:rFonts w:ascii="Aptos" w:hAnsi="Aptos" w:cs="Aptos"/>
        </w:rPr>
        <w:footnoteReference w:id="55"/>
      </w:r>
      <w:r>
        <w:t xml:space="preserve"> The Marshall Plan helped secure that basis, not just with goods and money, but with the hope and stability needed for a durable recovery. The plan was therefore less a simple engine for growth and more a vital catalyst that enabled Europe’s own recovery mechanisms to fully function.</w:t>
      </w:r>
    </w:p>
    <w:p>
      <w:pPr>
        <w:pStyle w:val="Heading1"/>
        <w:keepNext/>
        <w:spacing w:before="360"/>
      </w:pPr>
      <w:bookmarkStart w:id="103" w:name="_Toc_heading_3"/>
      <w:r>
        <w:t>Conclusion</w:t>
      </w:r>
      <w:bookmarkEnd w:id="103"/>
    </w:p>
    <w:p>
      <w:r>
        <w:t>The common image of the Marshall Plan as a simple program for rebuilding factories and infrastructure does not hold up to scrutiny. While direct aid was essential for solving the immediate "dollar gap" and breaking supply bottlenecks, this research has demonstrated that the plan's true impact was far more structural. Its most effective mechanisms were not the dollars themselves but the counterpart funds and explicit conditionality that accompanied them. These tools gave American administrators the leverage to push European governments toward fiscal discipline, price decontrol, and market-oriented policies.</w:t>
      </w:r>
    </w:p>
    <w:p>
      <w:r>
        <w:t>By providing this external pressure and a financial safety net, the plan helped break the political "wars of attrition" that had crippled many European governments. The aid made it easier for rival political and social groups to accept the sacrifices required for stabilization. In doing so, it restored the confidence needed for investment and growth to take hold. It did not just inject capital; it fundamentally altered the political and economic environment, creating the stability that was the true precondition for Europe's unprecedented post-war boom.</w:t>
      </w:r>
    </w:p>
    <w:p>
      <w:r>
        <w:t>The plan’s success cemented the economic and political alignment of Western Europe with the United States at a key moment in the early Cold War. By forcing economic cooperation, it also spurred the process of European integration that would define the continent's future.</w:t>
      </w:r>
    </w:p>
    <w:p>
      <w:r>
        <w:br w:type="page"/>
      </w:r>
    </w:p>
    <w:p>
      <w:pPr>
        <w:pStyle w:val="Heading1"/>
      </w:pPr>
      <w:r>
        <w:t>Bibliography</w:t>
      </w:r>
    </w:p>
    <w:p>
      <w:pPr>
        <w:ind w:left="709" w:hanging="709"/>
      </w:pPr>
      <w:r>
        <w:t xml:space="preserve">De Long, J. Bradford, and Barry Eichengreen. 1991. "The Marshall Plan: History Most Successful Structural Adjustment Program." Centre for Economic Performance and Landeszentralbank Hamburg conference. </w:t>
      </w:r>
      <w:hyperlink r:id="rId10">
        <w:r>
          <w:rPr>
            <w:color w:val="0563C1"/>
            <w:u w:val="single"/>
          </w:rPr>
          <w:t xml:space="preserve">https://www.econ.ucdavis.edu/faculty/alolmstead/DeLong.pdf</w:t>
        </w:r>
      </w:hyperlink>
      <w:r>
        <w:t xml:space="preserve"> (accessed 14.09.2026).</w:t>
      </w:r>
    </w:p>
    <w:p>
      <w:pPr>
        <w:ind w:left="709" w:hanging="709"/>
      </w:pPr>
      <w:r>
        <w:t xml:space="preserve">ORGANISATION FOR ECONOMIC CO-OPERATION AND DEVELOPMENT. 2008. </w:t>
      </w:r>
      <w:r>
        <w:rPr>
          <w:i/>
        </w:rPr>
        <w:t>The Marshall Plan Lessons Learned for the 21st Century</w:t>
      </w:r>
      <w:r>
        <w:t xml:space="preserve">, edited by Eliot Sorel and Pier Carlo Padoan. ORGANISATION FOR ECONOMIC CO-OPERATION AND DEVELOPMENT. </w:t>
      </w:r>
      <w:hyperlink r:id="rId11">
        <w:r>
          <w:rPr>
            <w:color w:val="0563C1"/>
            <w:u w:val="single"/>
          </w:rPr>
          <w:t xml:space="preserve">https://www.oecd.org/content/dam/oecd/en/publications/reports/2008/09/the-marshall-plan_g1gh8e35/9789264044258-en.pdf</w:t>
        </w:r>
      </w:hyperlink>
      <w:r>
        <w:t xml:space="preserve"> (accessed 14.09.2026).</w:t>
      </w:r>
    </w:p>
    <w:p>
      <w:pPr>
        <w:ind w:left="709" w:hanging="709"/>
      </w:pPr>
      <w:r>
        <w:t xml:space="preserve">Schepens, Thomas. 1997. "The role of the Marshall Plan in the economic reconstruction of Western Europe." </w:t>
      </w:r>
      <w:r>
        <w:rPr>
          <w:i/>
        </w:rPr>
        <w:t>Revue de la Banque / Bank- en Financiewezen</w:t>
      </w:r>
      <w:r>
        <w:t xml:space="preserve">. Fondation Gutt / Forum Financier Belge. </w:t>
      </w:r>
      <w:hyperlink r:id="rId12">
        <w:r>
          <w:rPr>
            <w:color w:val="0563C1"/>
            <w:u w:val="single"/>
          </w:rPr>
          <w:t xml:space="preserve">https://bib.kuleuven.be/rbib/collectie/archieven/bankfin/1997-juni-supp.pdf</w:t>
        </w:r>
      </w:hyperlink>
      <w:r>
        <w:t xml:space="preserve"> (accessed 14.09.2026).</w:t>
      </w:r>
    </w:p>
    <w:sectPr w:rsidR="00FC693F" w:rsidRPr="0006063C" w:rsidSect="00034616">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footnotes.xml><?xml version="1.0" encoding="utf-8"?>
<w:footnotes xmlns:w="http://schemas.openxmlformats.org/wordprocessingml/2006/main" xmlns:r="http://schemas.openxmlformats.org/officeDocument/2006/relationships">
  <w:footnote w:type="separator" w:id="-1">
    <w:p>
      <w:r>
        <w:separator/>
      </w:r>
    </w:p>
  </w:footnote>
  <w:footnote w:type="continuationSeparator" w:id="0">
    <w:p>
      <w:r>
        <w:continuationSeparator/>
      </w:r>
    </w:p>
  </w:footnote>
  <w:footnote w:id="1">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15-16.</w:t>
      </w:r>
    </w:p>
  </w:footnote>
  <w:footnote w:id="2">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17.</w:t>
      </w:r>
    </w:p>
  </w:footnote>
  <w:footnote w:id="3">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21.</w:t>
      </w:r>
    </w:p>
  </w:footnote>
  <w:footnote w:id="4">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1.</w:t>
      </w:r>
    </w:p>
  </w:footnote>
  <w:footnote w:id="5">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14.; ORGANISATION FOR ECONOMIC CO-OPERATION AND DEVELOPMENT, The Marshall Plan Lessons Learned for the 21st Century, ed. Eliot Sorel and Pier Carlo Padoan (ORGANISATION FOR ECONOMIC CO-OPERATION AND DEVELOPMENT, 2008), https://www.oecd.org/content/dam/oecd/en/publications/reports/2008/09/the-marshall-plan_g1gh8e35/9789264044258-en.pdf (accessed 14.09.2026), 15.</w:t>
      </w:r>
    </w:p>
  </w:footnote>
  <w:footnote w:id="6">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9, 15.</w:t>
      </w:r>
    </w:p>
  </w:footnote>
  <w:footnote w:id="7">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5, 27.</w:t>
      </w:r>
    </w:p>
  </w:footnote>
  <w:footnote w:id="8">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28.</w:t>
      </w:r>
    </w:p>
  </w:footnote>
  <w:footnote w:id="9">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ORGANISATION FOR ECONOMIC CO-OPERATION AND DEVELOPMENT, The Marshall Plan Lessons Learned for the 21st Century, ed. Eliot Sorel and Pier Carlo Padoan (ORGANISATION FOR ECONOMIC CO-OPERATION AND DEVELOPMENT, 2008), https://www.oecd.org/content/dam/oecd/en/publications/reports/2008/09/the-marshall-plan_g1gh8e35/9789264044258-en.pdf (accessed 14.09.2026), 48.</w:t>
      </w:r>
    </w:p>
  </w:footnote>
  <w:footnote w:id="10">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30.</w:t>
      </w:r>
    </w:p>
  </w:footnote>
  <w:footnote w:id="11">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31-32.</w:t>
      </w:r>
    </w:p>
  </w:footnote>
  <w:footnote w:id="12">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30-31.</w:t>
      </w:r>
    </w:p>
  </w:footnote>
  <w:footnote w:id="13">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31.</w:t>
      </w:r>
    </w:p>
  </w:footnote>
  <w:footnote w:id="14">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33.</w:t>
      </w:r>
    </w:p>
  </w:footnote>
  <w:footnote w:id="15">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ORGANISATION FOR ECONOMIC CO-OPERATION AND DEVELOPMENT, The Marshall Plan Lessons Learned for the 21st Century, ed. Eliot Sorel and Pier Carlo Padoan (ORGANISATION FOR ECONOMIC CO-OPERATION AND DEVELOPMENT, 2008), https://www.oecd.org/content/dam/oecd/en/publications/reports/2008/09/the-marshall-plan_g1gh8e35/9789264044258-en.pdf (accessed 14.09.2026), 15.</w:t>
      </w:r>
    </w:p>
  </w:footnote>
  <w:footnote w:id="16">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18.</w:t>
      </w:r>
    </w:p>
  </w:footnote>
  <w:footnote w:id="17">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18.</w:t>
      </w:r>
    </w:p>
  </w:footnote>
  <w:footnote w:id="18">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31-33.</w:t>
      </w:r>
    </w:p>
  </w:footnote>
  <w:footnote w:id="19">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17-19.</w:t>
      </w:r>
    </w:p>
  </w:footnote>
  <w:footnote w:id="20">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48.</w:t>
      </w:r>
    </w:p>
  </w:footnote>
  <w:footnote w:id="21">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20.</w:t>
      </w:r>
    </w:p>
  </w:footnote>
  <w:footnote w:id="22">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20.</w:t>
      </w:r>
    </w:p>
  </w:footnote>
  <w:footnote w:id="23">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46-47.; Thomas Schepens, "The role of the Marshall Plan in the economic reconstruction of Western Europe," Revue de la Banque / Bank- en Financiewezen (Fondation Gutt / Forum Financier Belge, 1997), https://bib.kuleuven.be/rbib/collectie/archieven/bankfin/1997-juni-supp.pdf (accessed 14.09.2026), 65.</w:t>
      </w:r>
    </w:p>
  </w:footnote>
  <w:footnote w:id="24">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20.</w:t>
      </w:r>
    </w:p>
  </w:footnote>
  <w:footnote w:id="25">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65.</w:t>
      </w:r>
    </w:p>
  </w:footnote>
  <w:footnote w:id="26">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ORGANISATION FOR ECONOMIC CO-OPERATION AND DEVELOPMENT, The Marshall Plan Lessons Learned for the 21st Century, ed. Eliot Sorel and Pier Carlo Padoan (ORGANISATION FOR ECONOMIC CO-OPERATION AND DEVELOPMENT, 2008), https://www.oecd.org/content/dam/oecd/en/publications/reports/2008/09/the-marshall-plan_g1gh8e35/9789264044258-en.pdf (accessed 14.09.2026), 57.</w:t>
      </w:r>
    </w:p>
  </w:footnote>
  <w:footnote w:id="27">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48.</w:t>
      </w:r>
    </w:p>
  </w:footnote>
  <w:footnote w:id="28">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64.</w:t>
      </w:r>
    </w:p>
  </w:footnote>
  <w:footnote w:id="29">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48.</w:t>
      </w:r>
    </w:p>
  </w:footnote>
  <w:footnote w:id="30">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47.</w:t>
      </w:r>
    </w:p>
  </w:footnote>
  <w:footnote w:id="31">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47.</w:t>
      </w:r>
    </w:p>
  </w:footnote>
  <w:footnote w:id="32">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53.</w:t>
      </w:r>
    </w:p>
  </w:footnote>
  <w:footnote w:id="33">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ORGANISATION FOR ECONOMIC CO-OPERATION AND DEVELOPMENT, The Marshall Plan Lessons Learned for the 21st Century, ed. Eliot Sorel and Pier Carlo Padoan (ORGANISATION FOR ECONOMIC CO-OPERATION AND DEVELOPMENT, 2008), https://www.oecd.org/content/dam/oecd/en/publications/reports/2008/09/the-marshall-plan_g1gh8e35/9789264044258-en.pdf (accessed 14.09.2026), 17.</w:t>
      </w:r>
    </w:p>
  </w:footnote>
  <w:footnote w:id="34">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17-18.</w:t>
      </w:r>
    </w:p>
  </w:footnote>
  <w:footnote w:id="35">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50.</w:t>
      </w:r>
    </w:p>
  </w:footnote>
  <w:footnote w:id="36">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55.</w:t>
      </w:r>
    </w:p>
  </w:footnote>
  <w:footnote w:id="37">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53.</w:t>
      </w:r>
    </w:p>
  </w:footnote>
  <w:footnote w:id="38">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52.</w:t>
      </w:r>
    </w:p>
  </w:footnote>
  <w:footnote w:id="39">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23-24.</w:t>
      </w:r>
    </w:p>
  </w:footnote>
  <w:footnote w:id="40">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56.</w:t>
      </w:r>
    </w:p>
  </w:footnote>
  <w:footnote w:id="41">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48.</w:t>
      </w:r>
    </w:p>
  </w:footnote>
  <w:footnote w:id="42">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60.; J. Bradford De Long and Barry Eichengreen, "The Marshall Plan: History Most Successful Structural Adjustment Program" (Centre for Economic Performance and Landeszentralbank Hamburg conference, 1991), https://www.econ.ucdavis.edu/faculty/alolmstead/DeLong.pdf (accessed 14.09.2026), 49.</w:t>
      </w:r>
    </w:p>
  </w:footnote>
  <w:footnote w:id="43">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60-61.</w:t>
      </w:r>
    </w:p>
  </w:footnote>
  <w:footnote w:id="44">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30-31.</w:t>
      </w:r>
    </w:p>
  </w:footnote>
  <w:footnote w:id="45">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Thomas Schepens, "The role of the Marshall Plan in the economic reconstruction of Western Europe," Revue de la Banque / Bank- en Financiewezen (Fondation Gutt / Forum Financier Belge, 1997), https://bib.kuleuven.be/rbib/collectie/archieven/bankfin/1997-juni-supp.pdf (accessed 14.09.2026), 59.</w:t>
      </w:r>
    </w:p>
  </w:footnote>
  <w:footnote w:id="46">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J. Bradford De Long and Barry Eichengreen, "The Marshall Plan: History Most Successful Structural Adjustment Program" (Centre for Economic Performance and Landeszentralbank Hamburg conference, 1991), https://www.econ.ucdavis.edu/faculty/alolmstead/DeLong.pdf (accessed 14.09.2026), 45.</w:t>
      </w:r>
    </w:p>
  </w:footnote>
  <w:footnote w:id="47">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45.</w:t>
      </w:r>
    </w:p>
  </w:footnote>
  <w:footnote w:id="48">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46-47.</w:t>
      </w:r>
    </w:p>
  </w:footnote>
  <w:footnote w:id="49">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48.</w:t>
      </w:r>
    </w:p>
  </w:footnote>
  <w:footnote w:id="50">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37-39.</w:t>
      </w:r>
    </w:p>
  </w:footnote>
  <w:footnote w:id="51">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ORGANISATION FOR ECONOMIC CO-OPERATION AND DEVELOPMENT, The Marshall Plan Lessons Learned for the 21st Century, ed. Eliot Sorel and Pier Carlo Padoan (ORGANISATION FOR ECONOMIC CO-OPERATION AND DEVELOPMENT, 2008), https://www.oecd.org/content/dam/oecd/en/publications/reports/2008/09/the-marshall-plan_g1gh8e35/9789264044258-en.pdf (accessed 14.09.2026), 52.</w:t>
      </w:r>
    </w:p>
  </w:footnote>
  <w:footnote w:id="52">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53.</w:t>
      </w:r>
    </w:p>
  </w:footnote>
  <w:footnote w:id="53">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54.</w:t>
      </w:r>
    </w:p>
  </w:footnote>
  <w:footnote w:id="54">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54.</w:t>
      </w:r>
    </w:p>
  </w:footnote>
  <w:footnote w:id="55">
    <w:p>
      <w:pPr>
        <w:pStyle w:val="FootnoteText"/>
        <w:spacing w:after="0" w:line="240" w:lineRule="auto"/>
        <w:ind w:firstLine="0"/>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Ibid., 51.</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200"/>
      <w:ind w:firstLine="709"/>
      <w:jc w:val="both"/>
    </w:pPr>
    <w:rPr>
      <w:rFonts w:ascii="Times New Roman" w:hAnsi="Times New Roman" w:eastAsia="Times New Roman" w:cs="Times New Roman"/>
      <w:sz w:val="24"/>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026" w:val="right" w:leader="dot"/>
      </w:tabs>
      <w:spacing w:after="80" w:before="40"/>
      <w:ind w:left="0" w:firstLine="0"/>
    </w:pPr>
    <w:rPr>
      <w:rFonts w:ascii="Times New Roman" w:hAnsi="Times New Roman"/>
      <w:b w:val="0"/>
      <w:sz w:val="24"/>
    </w:rPr>
  </w:style>
  <w:style w:type="paragraph" w:customStyle="1" w:styleId="TOC2">
    <w:name w:val="TOC 2"/>
    <w:pPr>
      <w:tabs>
        <w:tab w:pos="8459" w:val="right" w:leader="dot"/>
      </w:tabs>
      <w:spacing w:after="80" w:before="0"/>
      <w:ind w:left="567" w:firstLine="0"/>
    </w:pPr>
    <w:rPr>
      <w:rFonts w:ascii="Times New Roman" w:hAnsi="Times New Roman"/>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yperlink" Target="https://www.econ.ucdavis.edu/faculty/alolmstead/DeLong.pdf" TargetMode="External"/><Relationship Id="rId11" Type="http://schemas.openxmlformats.org/officeDocument/2006/relationships/hyperlink" Target="https://www.oecd.org/content/dam/oecd/en/publications/reports/2008/09/the-marshall-plan_g1gh8e35/9789264044258-en.pdf" TargetMode="External"/><Relationship Id="rId12" Type="http://schemas.openxmlformats.org/officeDocument/2006/relationships/hyperlink" Target="https://bib.kuleuven.be/rbib/collectie/archieven/bankfin/1997-juni-supp.pdf"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