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GHEA Grapalat" w:hAnsi="GHEA Grapalat"/>
          <w:b/>
          <w:sz w:val="32"/>
        </w:rPr>
        <w:t>«արհեստական բանականությունը կրթության մեջ»</w:t>
      </w:r>
    </w:p>
    <w:p>
      <w:pPr>
        <w:spacing w:before="120" w:after="120"/>
        <w:ind w:firstLine="0"/>
        <w:jc w:val="center"/>
      </w:pPr>
    </w:p>
    <w:p>
      <w:pPr>
        <w:spacing w:before="120" w:after="120"/>
        <w:ind w:firstLine="0"/>
        <w:jc w:val="center"/>
      </w:pPr>
    </w:p>
    <w:p>
      <w:pPr>
        <w:spacing w:before="80" w:after="80"/>
        <w:ind w:firstLine="0"/>
        <w:jc w:val="center"/>
      </w:pPr>
      <w:r>
        <w:rPr>
          <w:rFonts w:ascii="GHEA Grapalat" w:hAnsi="GHEA Grapalat"/>
          <w:b w:val="0"/>
          <w:sz w:val="28"/>
        </w:rPr>
        <w:t>Ուսանող՝ [Անուն Ազգանուն]</w:t>
      </w:r>
    </w:p>
    <w:p>
      <w:pPr>
        <w:spacing w:before="80" w:after="80"/>
        <w:ind w:firstLine="0"/>
        <w:jc w:val="center"/>
      </w:pPr>
    </w:p>
    <w:p>
      <w:pPr>
        <w:spacing w:before="120" w:after="120"/>
        <w:ind w:firstLine="0"/>
        <w:jc w:val="center"/>
      </w:pPr>
    </w:p>
    <w:p>
      <w:pPr>
        <w:spacing w:before="80" w:after="80"/>
        <w:ind w:firstLine="0"/>
        <w:jc w:val="center"/>
      </w:pPr>
      <w:r>
        <w:rPr>
          <w:rFonts w:ascii="GHEA Grapalat" w:hAnsi="GHEA Grapalat"/>
          <w:b w:val="0"/>
          <w:sz w:val="24"/>
        </w:rPr>
        <w:t>Դասախոս՝ [գիտական աստիճան, կոչում, Անուն Ազգանուն]</w:t>
      </w:r>
    </w:p>
    <w:p>
      <w:pPr>
        <w:spacing w:before="120" w:after="120"/>
        <w:ind w:firstLine="0"/>
        <w:jc w:val="center"/>
      </w:pPr>
    </w:p>
    <w:p>
      <w:pPr>
        <w:spacing w:before="120" w:after="120"/>
        <w:ind w:firstLine="0"/>
        <w:jc w:val="center"/>
      </w:pPr>
    </w:p>
    <w:p>
      <w:pPr>
        <w:spacing w:before="80" w:after="80"/>
        <w:ind w:firstLine="0"/>
        <w:jc w:val="center"/>
      </w:pPr>
      <w:r>
        <w:rPr>
          <w:rFonts w:ascii="GHEA Grapalat" w:hAnsi="GHEA Grapalat"/>
          <w:b w:val="0"/>
          <w:sz w:val="24"/>
        </w:rPr>
        <w:t>2026</w:t>
      </w:r>
    </w:p>
    <w:p>
      <w:pPr>
        <w:pageBreakBefore/>
        <w:spacing w:after="240"/>
        <w:ind w:firstLine="0" w:left="0"/>
        <w:jc w:val="center"/>
      </w:pPr>
      <w:r>
        <w:rPr>
          <w:rFonts w:ascii="GHEA Grapalat" w:hAnsi="GHEA Grapalat"/>
          <w:b/>
          <w:sz w:val="28"/>
        </w:rPr>
        <w:t>Բովանդակություն</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GHEA Grapalat" w:hAnsi="GHEA Grapalat"/>
          <w:sz w:val="24"/>
        </w:rPr>
        <w:t>Ներածություն</w:t>
      </w:r>
      <w:r>
        <w:fldChar w:fldCharType="end"/>
      </w:r>
      <w:r>
        <w:rPr>
          <w:rFonts w:ascii="GHEA Grapalat" w:hAnsi="GHEA Grapalat"/>
          <w:sz w:val="24"/>
        </w:rPr>
        <w:tab/>
      </w:r>
      <w:r>
        <w:fldChar w:fldCharType="begin" w:dirty="true"/>
      </w:r>
      <w:r>
        <w:instrText xml:space="preserve"> PAGEREF _Toc_heading_0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"_Toc_heading_1" </w:instrText>
      </w:r>
      <w:r>
        <w:fldChar w:fldCharType="separate"/>
      </w:r>
      <w:r>
        <w:rPr>
          <w:rFonts w:ascii="GHEA Grapalat" w:hAnsi="GHEA Grapalat"/>
          <w:sz w:val="24"/>
        </w:rPr>
        <w:t>Արհեստական բանականության կիրառությունները և առավելությունները կրթության մեջ</w:t>
      </w:r>
      <w:r>
        <w:fldChar w:fldCharType="end"/>
      </w:r>
      <w:r>
        <w:rPr>
          <w:rFonts w:ascii="GHEA Grapalat" w:hAnsi="GHEA Grapalat"/>
          <w:sz w:val="24"/>
        </w:rPr>
        <w:tab/>
      </w:r>
      <w:r>
        <w:fldChar w:fldCharType="begin" w:dirty="true"/>
      </w:r>
      <w:r>
        <w:instrText xml:space="preserve"> PAGEREF _Toc_heading_1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"_Toc_heading_2" </w:instrText>
      </w:r>
      <w:r>
        <w:fldChar w:fldCharType="separate"/>
      </w:r>
      <w:r>
        <w:rPr>
          <w:rFonts w:ascii="GHEA Grapalat" w:hAnsi="GHEA Grapalat"/>
          <w:sz w:val="24"/>
        </w:rPr>
        <w:t>Մարտահրավերներ, էթիկական խնդիրներ և զարգացման հեռանկարներ կրթության մեջ ԱԲ-ի ներդրման համատեքստում</w:t>
      </w:r>
      <w:r>
        <w:fldChar w:fldCharType="end"/>
      </w:r>
      <w:r>
        <w:rPr>
          <w:rFonts w:ascii="GHEA Grapalat" w:hAnsi="GHEA Grapalat"/>
          <w:sz w:val="24"/>
        </w:rPr>
        <w:tab/>
      </w:r>
      <w:r>
        <w:fldChar w:fldCharType="begin" w:dirty="true"/>
      </w:r>
      <w:r>
        <w:instrText xml:space="preserve"> PAGEREF _Toc_heading_2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"_Toc_heading_3" </w:instrText>
      </w:r>
      <w:r>
        <w:fldChar w:fldCharType="separate"/>
      </w:r>
      <w:r>
        <w:rPr>
          <w:rFonts w:ascii="GHEA Grapalat" w:hAnsi="GHEA Grapalat"/>
          <w:sz w:val="24"/>
        </w:rPr>
        <w:t>Եզրակացություն</w:t>
      </w:r>
      <w:r>
        <w:fldChar w:fldCharType="end"/>
      </w:r>
      <w:r>
        <w:rPr>
          <w:rFonts w:ascii="GHEA Grapalat" w:hAnsi="GHEA Grapalat"/>
          <w:sz w:val="24"/>
        </w:rPr>
        <w:tab/>
      </w:r>
      <w:r>
        <w:fldChar w:fldCharType="begin" w:dirty="true"/>
      </w:r>
      <w:r>
        <w:instrText xml:space="preserve"> PAGEREF _Toc_heading_3 \h </w:instrText>
      </w:r>
      <w:r>
        <w:fldChar w:fldCharType="separate"/>
      </w:r>
      <w:r>
        <w:rPr>
          <w:rFonts w:ascii="GHEA Grapalat" w:hAnsi="GHEA Grapalat"/>
          <w:sz w:val="24"/>
        </w:rPr>
        <w:t>1</w:t>
      </w:r>
      <w:r>
        <w:fldChar w:fldCharType="end"/>
      </w:r>
    </w:p>
    <w:p>
      <w:pPr>
        <w:spacing w:after="0"/>
        <w:ind w:firstLine="0" w:left="0"/>
      </w:pPr>
      <w:r>
        <w:fldChar w:fldCharType="end"/>
      </w:r>
    </w:p>
    <w:p>
      <w:pPr>
        <w:pStyle w:val="Heading1"/>
        <w:keepNext/>
        <w:spacing w:before="360"/>
      </w:pPr>
      <w:bookmarkStart w:id="100" w:name="_Toc_heading_0"/>
      <w:r>
        <w:t>Ներածություն</w:t>
      </w:r>
      <w:bookmarkEnd w:id="100"/>
    </w:p>
    <w:p>
      <w:r>
        <w:t>Կրթությունը բացառություն չէ. այն ոլորտներից է, որտեղ ԱԲ-ն ակտիվորեն ներթափանցում է՝ խոստանալով էական փոփոխություններ [6, էջ 1-2]։ Այսօր աշխարհի բազմաթիվ երկրներ մշակում են արհեստական բանականության զարգացման ազգային ռազմավարություններ, որոնցում հատուկ ուշադրություն է դարձվում կրթական համակարգում դրա կիրառմանը [4, էջ 137]։ Այս միտումը նկատելի է նաև Հայաստանում, որտեղ 2023 թվականից իրականացվում է «Արհեստական բանականության սերունդ» (Generation AI) նախագիծը՝ դպրոցական մակարդակից ԱԲ ոլորտի կրթությունը խթանելու նպատակով [8, էջ 7]։ Այս զարգացումները հիմնավորում են թեմայի արդիականությունը և համակողմանի ուսումնասիրության անհրաժեշտությունը։</w:t>
      </w:r>
    </w:p>
    <w:p>
      <w:r>
        <w:t>Կրթության մեջ արհեստական բանականությունը (AIED) ընդհանրական տերմին է, որը ներառում է մեքենայական ուսուցում, խորը ուսուցում, բնական լեզվի մշակում և այլ տեխնոլոգիաներ, որոնք ցուցաբերում են «բանական» վարքի տարրեր [4, 6]։ ԱԲ-ի ինտեգրումը նպատակ ունի հեշտացնել ուսուցումը, դարձնել այն ավելի անհատականացված և ճկուն՝ հարմարեցնելով յուրաքանչյուր սովորողի կարիքներին [6, էջ 2]։ Այս համատեքստում կարևոր է նաև «ԱԲ գրագիտության» հասկացությունը, որը ենթադրում է ԱԲ տեխնոլոգիաները հասկանալու, օգտագործելու և քննադատաբար գնահատելու կարողություն՝ առանց դրանց մշակման տեխնիկական գիտելիքներ ունենալու [6, էջ 1]։</w:t>
      </w:r>
    </w:p>
    <w:p>
      <w:r>
        <w:t>Մի կողմից՝ ԱԲ-ն կրթության ոլորտում ընձեռում է բազմաթիվ հնարավորություններ, ինչպիսիք են ուսումնական գործընթացի անհատականացումը, դասախոսներին կրկնվող առաջադրանքներից ազատելը (օրինակ՝ թեստերի ավտոմատ ստուգում), ինչպես նաև որակյալ կրթական ռեսուրսների հասանելիության ընդլայնումը [6, էջ 3]։ Հետազոտողները մտահոգություններ են հայտնում տվյալների գաղտնիության, ալգորիթմական կողմնակալության, ակադեմիական ազնվության նվազման, ինչպես նաև ուսումնական գործընթացի «ապամարդկայնացման» ռիսկերի վերաբերյալ [1, 6]։ Որոշ դասախոսներ էլ մտահոգված են, որ ուսանողների՝ ԱԲ գործիքներից չափից ավելի կախվածությունը կարող է խոչընդոտել քննադրտական մտածողության զարգացմանը [9, էջ 3-5]։</w:t>
      </w:r>
    </w:p>
    <w:p>
      <w:r>
        <w:t>Սույն աշխատանքի նպատակն է ուսումնասիրել արհեստական բանականության դերը ժամանակակից կրթության մեջ՝ վերլուծելով դրա կիրառությունները, առավելությունները և մարտահրավերները։ Այդ նպատակին հասնելու համար աշխատանքում ներկայացվում են կրթության մեջ ԱԲ-ի հիմնական կիրառությունները, վերլուծվում են դրա առավելություններն ու դրական հետևանքները սովորողների, դասախոսների և կրթական հաստատությունների համար, ինչպես նաև բացահայտվում են ներդրման հետ կապված հիմնական մարտահրավերները՝ հատուկ ուշադրություն դարձնելով էթիկական խնդիրներին։</w:t>
      </w:r>
    </w:p>
    <w:p>
      <w:r>
        <w:t>Աշխատանքը կառուցվածքային առումով բաղկացած է ներածությունից, երեք հիմնական գլխից և եզրակացությունից։ Առաջին գլխում քննարկվում են կրթության մեջ ԱԲ-ի կիրառման ուղղությունները։ Երկրորդ գլուխը նվիրված է ԱԲ-ի ընձեռած հնարավորությունների և առավելությունների վերլուծությանը, իսկ երրորդում մանրամասն քննվում են առկա մարտահրավերներն ու էթիկական խնդիրները։ Եզրակացությունում ամփոփվում են ուսումնասիրության արդյունքները։</w:t>
      </w:r>
    </w:p>
    <w:p>
      <w:pPr>
        <w:pStyle w:val="Heading1"/>
        <w:keepNext/>
        <w:spacing w:before="360"/>
      </w:pPr>
      <w:bookmarkStart w:id="101" w:name="_Toc_heading_1"/>
      <w:r>
        <w:t>Արհեստական բանականության կիրառությունները և առավելությունները կրթության մեջ</w:t>
      </w:r>
      <w:bookmarkEnd w:id="101"/>
    </w:p>
    <w:p>
      <w:r>
        <w:t>Արհեստական բանականության (ԱԲ) ինտեգրումը կրթական համակարգ աստիճանաբար դուրս է գալիս տեսական քննարկումների դաշտից՝ ստանալով գործնական կիրառություններ, որոնք զգալի հնարավորություններ են բացում դասավանդողների և ուսանողների համար։ ԱԲ տեխնոլոգիաները կարող են վերափոխել ուսուցման գործընթացը՝ դարձնելով այն ավելի անհատականացված, արդյունավետ և մատչելի [3, էջ 2]։ ԱԲ-ի կիրառության հիմնական ուղղություններից են անհատականացված ուսուցումը, խելացի կրկնուսույց համակարգերի ներդրումը և դասախոսների վարչական բեռի թեթևացումը։</w:t>
      </w:r>
    </w:p>
    <w:p>
      <w:r>
        <w:t>ԱԲ-ի կարևոր կիրառություններից մեկը անհատականացված ուսուցման հարթակների ստեղծումն է։ Ավանդական դասարանային մոդելը հաճախ չի կարողանում հաշվի առնել յուրաքանչյուր ուսանողի ուսուցման տեմպը, գիտելիքի մակարդակը և նախասիրությունները։ ԱԲ-ի վրա հիմնված համակարգերը կարող են վերլուծել ուսանողի առաջադիմության տվյալները և դրանց հիման վրա առաջարկել անհատականացված ուսումնական նյութեր, առաջադրանքներ և թեստեր [6, էջ 3]։ Այս մոտեցումը ոչ միայն բարձրացնում է ուսանողի ներգրավվածությունն ու մոտիվացիան, այլև նպաստում է ակադեմիական խոչընդոտների հաղթահարմանը՝ բոլոր ուսանողներին տրամադրելով որակյալ և իրենց կարիքներին համապատասխանող ուսուցում [3, էջ 2]։ Ուսուցումը դառնում է նաև ավելի ճկուն, քանի որ ուսանողները կարող են սովորել իրենց հարմար ժամին և վայրում՝ օգտագործելով ԱԲ-ի ենթակառուցվածքները [6, էջ 3]։</w:t>
      </w:r>
    </w:p>
    <w:p>
      <w:r>
        <w:t>Անհատականացված ուսուցման գաղափարի գործնական մարմնավորումն են խելացի կրկնուսույց համակարգերը (Intelligent Tutoring Systems, ITS)։ Մարդկային կրկնուսուցումը ուսանողների ակադեմիական առաջադիմությունը բարելավելու ամենաարդյունավետ միջոցներից է, սակայն այն թանկ է և դժվար կիրառելի լայն մասշտաբով [5, էջ 18]։ ԱԲ-ի վրա հիմնված կրկնուսույցները հնարավորություն են տալիս լուծել այս խնդիրը՝ անհատականացված աջակցությունը հասանելի դարձնելով հազարավոր ուսանողների համար։ Օրինակ՝ Էկվադորում իրականացվել է պատահականացված վերահսկվող փորձարկում, որի շրջանակներում ավելի քան 5000 առաջին կուրսեցիների տրամադրվել է մաթեմատիկայի ALEKS խելացի կրկնուսույց համակարգից օգտվելու հնարավորություն։ Արդյունքները ցույց են տվել, որ վեց ամսվա ընթացքում համակարգից օգտվող ուսանողների մաթեմատիկայի թեստերի գնահատականները բարելավվել են 0,28 ստանդարտ շեղումով, իսկ առնվազն մեկ առարկայից կտրվելու հավանականությունը նվազել է 9 տոկոսային կետով [5, էջ 18-19]։ Նման համակարգերը, ինչպիսին է Korbit հարթակը, որն օգտագործում է ավելի քան 20 000 ուսանող, օգնում են սովորողներին և միաժամանակ արժեքավոր տվյալներ տրամադրում դասախոսներին՝ թույլ տալով բացահայտել ուսուցման մարտահրավերները և հարմարեցնել դասավանդման ռազմավարությունը [5, էջ 19]։</w:t>
      </w:r>
    </w:p>
    <w:p>
      <w:r>
        <w:t>ԱԲ տեխնոլոգիաները զգալիորեն թեթևացնում են նաև դասավանդողների աշխատանքային բեռը՝ ավտոմատացնելով առօրյա և ժամանակատար վարչական առաջադրանքները։ Գնահատումը, դասի պլանավորումը և հաշվետվությունների կազմումը դասախոսի ժամանակի զգալի մասն են խլում։ ԱԲ գործիքները կարող են ավտոմատ կերպով ստուգել թեստերն ու առաջադրանքները, ինչպես նաև մանրամասն վերլուծություն տրամադրել ուսանողների առաջադիմության վերաբերյալ [5, էջ 17]։ Սա թույլ է տալիս դասախոսներին ավելի շատ ժամանակ հատկացնել ուսուցմանը, ուսանողներին մենթորություն անելուն և կրթական արդյունքները բարելավելուն [3, էջ 2]։ Հայաստանի բուհերում դասախոսների շրջանում անցկացված հարցումը ցույց է տվել, որ նրանց 57 %-ն օգտագործում է ԱԲ-ի վրա հիմնված գրագողության հայտնաբերման գործիքներ, իսկ 38 %-ը՝ վարչական առաջադրանքներ կատարելու համար [9, էջ 9]։ Այսպիսով, ԱԲ-ն գործում է որպես արդյունավետ օգնական դասարանում, որը, ըստ մի մետավերլուծության, կարող է բարելավել ուսուցման արդյունքները՝ միաժամանակ նվազեցնելով ուսուցիչների ծանրաբեռնվածությունը [5, էջ 17]։</w:t>
      </w:r>
    </w:p>
    <w:p>
      <w:r>
        <w:t>Մյուս կողմից, գեներատիվ ԱԲ գործիքների (օրինակ՝ ChatGPT) ի հայտ գալը նոր հնարավորություններ է ստեղծում առաջադրանքների նախագծման և կատարման համար։ Դրանք արգելելու փոխարեն՝ շատ մանկավարժներ սկսել են հարմարեցնել իրենց դասավանդման և գնահատման մեթոդները [5, էջ 20]։ Դասախոսները կարող են նախագծել այնպիսի առաջադրանքներ, որոնք պահանջում են ավելի բարձր մակարդակի մտածողություն, քննադատական վերլուծություն և ինքնատիպ պատկերացումներ՝ հմտություններ, որոնք դուրս են գեներատիվ ԱԲ-ի ներկայիս կարողություններից [5, էջ 20]։ Օրինակ, ինչպես որ հաշվիչների օգտագործումը թույլատրվում է մաթեմատիկայի որոշ առաջադրանքների համար, այնպես էլ ԱԲ գործիքները կարող են կիրառվել այն դեպքերում, երբ շեշտը դրված է ոչ թե հիմնարար գիտելիքի ստուգման, այլ ավելի բարդ հմտությունների զարգացման վրա [5, էջ 21]։ Բացի այդ, դասախոսներն իրենք են ակտիվորեն կիրառում այս գործիքները։ Հայաստանում հարցված դասախոսների 71 %-ն օգտագործում է ԱԲ գրային օգնականներ, իսկ 63 %-ը՝ հետազոտություն անելու համար [9, էջ 9]։ Բուլղարիայի համալսարանների պրոֆեսորների շրջանում անցկացված հարցումը ցույց է տվել, որ նրանց 60,9 %-ը ChatGPT-ն դիտարկում է որպես ժամանակատար գործողություններում օգնող գործիք, իսկ 59,8 %-ը՝ ուսանողների հետաքրքրությունն ու ներգրավվածությունը խթանելու միջոց [9, էջ 5]։</w:t>
      </w:r>
    </w:p>
    <w:p>
      <w:r>
        <w:t>Արհեստական բանականությունը կարող է նաև ստեղծել ուսուցման ընկղմող միջավայրեր՝ վիրտուալ (VR) և լրացված (AR) իրականության տեխնոլոգիաների միջոցով։ Այս տեխնոլոգիաները կարող են ուսանողներին տեղափոխել վիրտուալ աշխարհներ, պատմական վայրեր կամ գիտական սիմուլյացիաներ՝ թույլ տալով նրանց ուսումնասիրել և փոխազդել հասկացությունների հետ այնպիսի եղանակներով, որոնք անհնար կլինեին ավանդական դասարանում [3, էջ 2]։ Օրինակ, կենսաբանություն ուսումնասիրող ուսանողները կարող են AR-ի միջոցով անատոմիական կառուցվածքների թվային պատկերներ դնել ֆիզիկական մոդելների վրա՝ եռաչափ տեսնելով և հասկանալով բարդ կենսաբանական գործընթացները [3, էջ 2]։</w:t>
      </w:r>
    </w:p>
    <w:p>
      <w:r>
        <w:t>Ամփոփելով՝ արհեստական բանականությունը կրթության ոլորտում առաջարկում է բազմաթիվ առավելություններ։ Անհատականացված ուսուցման հարթակներից և խելացի կրկնուսույցներից մինչև դասախոսների աշխատանքի ավտոմատացում և գնահատման նոր մեթոդների մշակում՝ ԱԲ-ն ներուժ ունի բարձրացնելու կրթության որակն ու արդյունավետությունը։ Այս տեխնոլոգիաները պետք է դիտարկել ոչ թե որպես մարդկային փորձառության փոխարինող, այլ որպես հզոր գործիք, որն ընդլայնում է դասախոսների և ուսանողների հնարավորությունները [5, էջ 8]։ Դրանց ճիշտ և պատասխանատու կիրառումը կարող է ստեղծել կրթական միջավայր, որը միաժամանակ արդյունավետ է և մարդակենտրոն։</w:t>
      </w:r>
    </w:p>
    <w:p>
      <w:pPr>
        <w:pStyle w:val="Heading1"/>
        <w:keepNext/>
        <w:spacing w:before="360"/>
      </w:pPr>
      <w:bookmarkStart w:id="102" w:name="_Toc_heading_2"/>
      <w:r>
        <w:t>Մարտահրավերներ, էթիկական խնդիրներ և զարգացման հեռանկարներ կրթության մեջ ԱԲ-ի ներդրման համատեքստում</w:t>
      </w:r>
      <w:bookmarkEnd w:id="102"/>
    </w:p>
    <w:p>
      <w:r>
        <w:t>Արհեստական բանականության (ԱԲ) ներդրումը կրթության ոլորտում, չնայած իր ընձեռած բազմաթիվ հնարավորություններին, ուղեկցվում է մի շարք լուրջ մարտահրավերներով և էթիկական խնդիրներով, որոնք պահանջում են համակողմանի քննություն և լուծումներ։ Այս տեխնոլոգիաների անխոհեմ կիրառումը կարող է ոչ միայն չարդարացնել ակնկալիքները, այլև խորացնել առկա սոցիալական անհավասարությունները և վնաս հասցնել կրթական գործընթացի հիմնարար արժեքներին։ Առանցքային մտահոգությունները վերաբերում են տվյալների գաղտնիությանը, ալգորիթմական կողմնակալությանը, թվային անջրպետի խորացմանը և մարդկային գործոնի դերի նվազմանը։</w:t>
      </w:r>
    </w:p>
    <w:p>
      <w:r>
        <w:t>Կրթության մեջ ԱԲ-ի կիրառման ամենալուրջ խնդիրներից մեկը կապված է ուսանողների անձնական տվյալների հավաքագրման, օգտագործման և պաշտպանության հետ։ Անհատականացված ուսուցման հետագծեր կառուցելու համար ԱԲ համակարգերը հավաքագրում են հսկայական ծավալի տեղեկատվություն՝ ոչ միայն գնահատականների և ձեռք բերված գիտելիքների, այլև ուսանողի բնավորության գծերի, նախասիրությունների, առողջական վիճակի կամ ընտանեկան իրավիճակի մասին [4, էջ 149]։ Առաջին հերթին՝ հստակ չէ, թե ով է հավաքագրված տվյալների և դրանց հիման վրա ստացված վերլուծությունների սեփականատերը՝ ուսումնական հաստատությու՞նը, թե՞ ԱԲ գործիքը մշակող ընկերությունը [4, էջ 149]։ Այս անորոշությունը ռիսկեր է ստեղծում, որ այդ տվյալները կարող են վաճառվել երրորդ կողմերին, օրինակ՝ առցանց մարքեթոլոգներին, ապահովագրական ընկերություններին կամ գործատուներին, որոնք կարող են դրանք օգտագործել սեփական նպատակներով [4, 7]։ Երկրորդ՝ ուսանողները, հատկապես անչափահասները, գտնվում են խոցելի դիրքում և կախվածության մեջ դպրոցից ու դասախոսներից, ինչի պատճառով միշտ չէ, որ կարող են վիճարկել իրենց տվյալների հավաքագրումը [4, էջ 149]։ Եվրոպական միության Տվյալների պաշտպանության ընդհանուր կանոնակարգը (GDPR) նշում է, որ համաձայնությունը չի կարող վավեր իրավական հիմք լինել, երբ տվյալների սուբյեկտի և վերահսկողի միջև առկա է ակնհայտ անհավասարակշռություն [4, էջ 149]։ Հետևաբար, տվյալների անվտանգության ապահովումը՝ կոդավորման, մուտքի վերահսկման և անվտանգության պարբերական աուդիտների միջոցով, դառնում է ոչ միայն էթիկական, այլև իրավական հրամայական [3, էջ 3]։</w:t>
      </w:r>
    </w:p>
    <w:p>
      <w:r>
        <w:t>ԱԲ համակարգերի որակը պայմանավորված է այն տվյալների որակով, որոնցով դրանք սնվում են [4, էջ 150]։ Եթե ալգորիթմները մարզվում են պատմական տվյալների հիման վրա, որոնք արտացոլում են գոյություն ունեցող սոցիալական և կրթական անհավասարությունները, ապա ԱԲ գործիքները կարող են ոչ միայն վերարտադրել, այլև խորացնել այդ կողմնակալությունները [3, 2]։ Օրինակ՝ եթե համակարգը, վերլուծելով աշակերտի առաջադիմությունը, կանխատեսում է նրա հակվածությունը հանցավոր վարքագծի նկատմամբ, այն կարող է անարդարացիորեն թիրախավորել բնակչության որոշակի խմբերի՝ հիմնվելով սոցիալական շերտավորումն արտացոլող տվյալների վրա [4, էջ 108]։ Այս ռիսկի վառ օրինակ էր Մեծ Բրիտանիայում COVID-19 համավարակի ժամանակ A-level քննությունների արդյունքները կանխատեսող ալգորիթմի կիրառումը, որը ցածր գնահատականներ տվեց պետական դպրոցների տաղանդավոր աշակերտներին՝ հիմնվելով դպրոցի պատմական միջին ցուցանիշների վրա [4, էջ 151]։ Այսպիսի կողմնակալությունը կարող է հանգեցնել «ներկայացվածության վնասի» (harm of representation), երբ որոշակի խմբեր սխալ են ներկայացվում կամ անտեսվում, և «բաշխման վնասի» (harm of allocation), երբ ռեսուրսներն ու հնարավորություններն անարդարացի են բաշխվում [7, էջ 33-34]։</w:t>
      </w:r>
    </w:p>
    <w:p>
      <w:r>
        <w:t>ԱԲ-ի ներդրման հիմնական մարտահրավերներից է նաև թվային անջրպետը՝ տեխնոլոգիաներին և համացանցին անհավասար հասանելիությունը [3, էջ 3]։ Շատ ուսանողներ, հատկապես զարգացող երկրներում կամ գյուղական վայրերում, չունեն անհրաժեշտ սարքավորումներ կամ կայուն համացանցային կապ, ինչը նրանց դուրս է թողնում ԱԲ-ի վրա հիմնված կրթական հնարավորություններից [6, էջ 5]։ Սա հատկապես ակնհայտ դարձավ համավարակի ժամանակ, երբ շատ աշակերտներ պարբերաբար դուրս էին մնում կրթությունից՝ տանը համապատասխան պայմանների բացակայության պատճառով [7, էջ 15]։ Ավելին, հետազոտական նախագծերը հաճախ ստիպված են լինում սահմանափակել իրենց ընտրանքը՝ աշխատելով միայն այն դպրոցների հետ, որոնք ունեն անհրաժեշտ ենթակառուցվածքներ, ինչը հանգեցնում է տվյալների ներկայացուցչականության խնդիրների [7, էջ 16]։ Շատ ԱԲ կրթական համակարգեր մշակված են գերիշխող լեզվական և մշակութային մոդելների հիման վրա, հիմնականում՝ ամերիկյան կամ բրիտանական անգլերենով [7, էջ 16]։ Ուսումնասիրությունները ցույց են տալիս, որ աշակերտներն ավելի լավ արդյունքներ են ցուցաբերում, երբ տեխնոլոգիան հաղորդակցվում է նրանց համար սովորական լեզվական ձևով [7, էջ 16]։ Ավելին, ԱԲ կրթական գործիքների ճնշող մեծամասնությունը նախատեսված է հիմնական (mainstream) կրթության համար՝ անտեսելով նյարդաբազմազան կամ ֆիզիկական առանձնահատկություններ ունեցող սովորողների կարիքները [7, էջ 17]։</w:t>
      </w:r>
    </w:p>
    <w:p>
      <w:r>
        <w:t>Թեև ԱԲ-ն կարող է ավտոմատացնել վարչական գործառույթները՝ դասախոսներին ավելի շատ ժամանակ տրամադրելով ուսուցման համար, միաժամանակ առկա է կրթության «ապամարդկայնացման» (dehumanize) ռիսկ [6, էջ 5]։ Շատերը նշում են, որ ԱԲ-ն չի կարող փոխարինել մարդկային բովանդակալից փոխազդեցությանը, մենթորությանը և նրբանկատ հետադարձ կապին [9, էջ 12]։ Ուսուցչի դերը միայն գիտելիք փոխանցելը չէ, այլև ուսանողների բարոյական և անձնային զարգացմանն աջակցելը, ինչը ԱԲ-ն չի կարող ապահովել [6, էջ 5]։ Միաժամանակ դասախոսների մեծ մասը պատրաստ չէ ԱԲ գործիքների արդյունավետ ինտեգրմանը։ Առանց համակարգային աջակցության, ներառյալ ենթակառուցվածքների արդիականացման և վերապատրաստումների, ԱԲ-ի ներդրումը կարող է մնալ հատվածային և անարդյունավետ։</w:t>
      </w:r>
    </w:p>
    <w:p>
      <w:r>
        <w:t>Այս մարտահրավերները հաղթահարելու համար անհրաժեշտ է համալիր մոտեցում։ Ապագան ոչ թե ԱԲ-ից հրաժարվելն է, այլ դրա պատասխանատու և ռազմավարական ինտեգրումը։ Առաջնային քայլերից պետք է լինի հստակ էթիկական և իրավական շրջանակների մշակումը, որոնք կկարգավորեն տվյալների օգտագործումը, կապահովեն թափանցիկություն և հաշվետվողականություն [3, 9]։ Մյուս կարևոր ուղղությունը դասախոսներին «ԱԲ-ին պատրաստ» դարձնելն է [9, էջ 4]։ Պակաս կարևոր չէ նաև «մարդը շղթայում» (teacher in the loop) սկզբունքի կիրառումը, որտեղ ԱԲ-ն աջակցող գործիք է, իսկ վերջնական որոշումներն ու գնահատականները մնում են մարդու իրավասության տակ [5, էջ 13]։ Այս մոտեցումը թույլ է տալիս օգտվել ԱԲ-ի արդյունավետությունից՝ միաժամանակ պահպանելով մարդկային փորձառության և դատողության անփոխարինելի դերը։ Ապագան, հավանաբար, պատկանում է հիբրիդային բանականությանը, որը ներդաշնակորեն կհամատեղի մարդկային և ալգորիթմական ինտելեկտի ուժեղ կողմերը [6, էջ 5]։</w:t>
      </w:r>
    </w:p>
    <w:p>
      <w:pPr>
        <w:pStyle w:val="Heading1"/>
        <w:keepNext/>
        <w:spacing w:before="360"/>
      </w:pPr>
      <w:bookmarkStart w:id="103" w:name="_Toc_heading_3"/>
      <w:r>
        <w:t>Եզրակացություն</w:t>
      </w:r>
      <w:bookmarkEnd w:id="103"/>
    </w:p>
    <w:p>
      <w:r>
        <w:t>Արհեստական բանականության դերի ուսումնասիրությունը ժամանակակից կրթության ոլորտում բացահայտում է միաժամանակ և՛ խոստումնալից, և՛ մտահոգիչ միտումներ։ Արհեստական բանականության տեխնոլոգիաները պարզապես նոր գործիքներ չեն, այլ ունեն համակարգային փոփոխություններ իրականացնելու ներուժ՝ վերափոխելով ուսուցման և դասավանդման ավանդական մոդելները։</w:t>
      </w:r>
    </w:p>
    <w:p>
      <w:r>
        <w:t>ԱԲ-ի առանցքային առավելություններից են ուսուցման գործընթացի անհատականացումը և խելացի կրկնուսույց համակարգերի (ITS) միջոցով ուսանողներին հարմարեցված աջակցության տրամադրումը, որը կարող է զգալիորեն բարելավել ակադեմիական արդյունքները։ Միևնույն ժամանակ, ԱԲ-ն կարող է էականորեն թեթևացնել դասախոսների վարչական բեռը՝ ավտոմատացնելով գնահատման և հաշվետվությունների կազմման գործընթացները, ինչը նրանց թույլ է տալիս ավելի շատ ժամանակ հատկացնել անմիջական մանկավարժական աշխատանքին։</w:t>
      </w:r>
    </w:p>
    <w:p>
      <w:r>
        <w:t>Սակայն այս հնարավորություններին զուգահեռ առկա են նաև լուրջ մարտահրավերներ։ Դրանցից առանցքային են ուսանողների տվյալների գաղտնիությանն ու անվտանգությանը սպառնացող ռիսկերը, ալգորիթմական կողմնակալության վտանգը, որը կարող է վերարտադրել և խորացնել սոցիալական անհավասարությունները, ինչպես նաև թվային անջրպետի խնդիրը։ Բացի այդ, դասախոսների շրջանում կա մտահոգություն, որ ԱԲ գործիքներից չափից ավելի կախվածությունը կարող է բացասաբար անդրադառնալ ուսանողների քննադատական մտածողության զարգացման վրա և հանգեցնել կրթության «ապամարդկայնացման»։</w:t>
      </w:r>
    </w:p>
    <w:p>
      <w:r>
        <w:t>Այսպիսով, արհեստական բանականությունը կրթության ոլորտում երկսայր սուր է։ Դրա հաջող ինտեգրումը կախված է ոչ այնքան տեխնոլոգիական առաջընթացից, որքան հստակ էթիկական շրջանակների մշակումից, դասախոսների պատշաճ վերապատրաստումից և մարդակենտրոն մոտեցման պահպանումից։ Ապագան, հավանաբար, պատկանում է հիբրիդային մոդելներին, որտեղ ԱԲ-ն ծառայում է որպես դասախոսին ու ուսանողին աջակցող հզոր գործիք, սակայն վերջնական որոշումները և մանկավարժական դատողությունը մնում են մարդու իրավասության ներքո։</w:t>
      </w:r>
    </w:p>
    <w:p>
      <w:r>
        <w:br w:type="page"/>
      </w:r>
    </w:p>
    <w:p>
      <w:pPr>
        <w:pStyle w:val="Heading1"/>
      </w:pPr>
      <w:r>
        <w:t>ՕԳՏԱԳՈՐԾՎԱԾ ԳՐԱԿԱՆՈՒԹՅԱՆ ՑԱՆԿ</w:t>
      </w:r>
    </w:p>
    <w:p>
      <w:pPr>
        <w:ind w:left="709" w:hanging="709"/>
      </w:pPr>
      <w:r>
        <w:t xml:space="preserve">Aringo, D. A., Sarmiento, J. R. (2025). ETHICAL CONCERNS IN ARTIFICIAL INTELLIGENCE - DRIVEN EDUCATION: PERPECTIVE FROM EDUCATORS AND STUDENTS // GSJ, Vol. 13, No. 5, pp. 279-282. ISSN 2320-9186 // URL: </w:t>
      </w:r>
      <w:hyperlink r:id="rId9">
        <w:r>
          <w:rPr>
            <w:color w:val="0563C1"/>
            <w:u w:val="single"/>
          </w:rPr>
          <w:t xml:space="preserve">https://www.globalscientificjournal.com/researchpaper/ETHICAL_CONCERNS_IN_ARTIFICIAL_INTELLIGENCE_DRIVEN_EDUCATION_PERPECTIVE_FROM_EDUCATORS_AND_STUDENTS.pdf</w:t>
        </w:r>
      </w:hyperlink>
      <w:r>
        <w:t>,</w:t>
      </w:r>
      <w:r>
        <w:t xml:space="preserve"> 18.09.2026.</w:t>
      </w:r>
    </w:p>
    <w:p>
      <w:pPr>
        <w:ind w:left="709" w:hanging="709"/>
      </w:pPr>
      <w:r>
        <w:t xml:space="preserve">Atoyan, V., Brosius, L., Movsisyan, N., Ohanyan, S., Hovyan, V. (2025). The Role of Artificial Intelligence in Higher Education: The Case of Armenia // PS: Political Science &amp; Politics, Vol. 58, No. 3, pp. 587-592. ISSN 1049-0965. </w:t>
      </w:r>
      <w:hyperlink r:id="rId10">
        <w:r>
          <w:rPr>
            <w:color w:val="0563C1"/>
            <w:u w:val="single"/>
          </w:rPr>
          <w:t xml:space="preserve">https://doi.org/10.1017/S104909652400115X</w:t>
        </w:r>
      </w:hyperlink>
      <w:r>
        <w:t xml:space="preserve"> // URL: </w:t>
      </w:r>
      <w:hyperlink r:id="rId11">
        <w:r>
          <w:rPr>
            <w:color w:val="0563C1"/>
            <w:u w:val="single"/>
          </w:rPr>
          <w:t xml:space="preserve">https://www.cambridge.org/core/services/aop-cambridge-core/content/view/898D75BDD358A5D166E9D828D7103E14/S104909652400115Xa.pdf/role_of_artificial_intelligence_in_higher_education_the_case_of_armenia.pdf</w:t>
        </w:r>
      </w:hyperlink>
      <w:r>
        <w:t>,</w:t>
      </w:r>
      <w:r>
        <w:t xml:space="preserve"> 18.09.2026.</w:t>
      </w:r>
    </w:p>
    <w:p>
      <w:pPr>
        <w:ind w:left="709" w:hanging="709"/>
      </w:pPr>
      <w:r>
        <w:t xml:space="preserve">Chima Abimbola Eden, Onyebuchi N. C., Idowu S. A. (2024). Integrating AI in education: Opportunities, challenges, and ethical considerations // Magna Scientia Advanced Research and Reviews, Vol. 10, No. 2, pp. 006-013. ISSN 2582-9394. </w:t>
      </w:r>
      <w:hyperlink r:id="rId12">
        <w:r>
          <w:rPr>
            <w:color w:val="0563C1"/>
            <w:u w:val="single"/>
          </w:rPr>
          <w:t xml:space="preserve">https://doi.org/10.30574/msarr.2024.10.2.0039</w:t>
        </w:r>
      </w:hyperlink>
      <w:r>
        <w:t xml:space="preserve"> // URL: </w:t>
      </w:r>
      <w:hyperlink r:id="rId13">
        <w:r>
          <w:rPr>
            <w:color w:val="0563C1"/>
            <w:u w:val="single"/>
          </w:rPr>
          <w:t xml:space="preserve">https://magnascientiapub.com/journals/msarr/sites/default/files/MSARR-2024-0039.pdf</w:t>
        </w:r>
      </w:hyperlink>
      <w:r>
        <w:t>,</w:t>
      </w:r>
      <w:r>
        <w:t xml:space="preserve"> 18.09.2026.</w:t>
      </w:r>
    </w:p>
    <w:p>
      <w:pPr>
        <w:ind w:left="709" w:hanging="709"/>
      </w:pPr>
      <w:r>
        <w:t xml:space="preserve">Holmes, W., Porayska-Pomsta, K. (Eds.). (n.d.). The Ethics of Artificial Intelligence in Education: Practices, Challenges, and Debates // URL: </w:t>
      </w:r>
      <w:hyperlink r:id="rId14">
        <w:r>
          <w:rPr>
            <w:color w:val="0563C1"/>
            <w:u w:val="single"/>
          </w:rPr>
          <w:t xml:space="preserve">https://newteacherlibraryandtools.square.site/uploads/b/e4443390-f724-11ec-9291-b5b724deb1dc/The</w:t>
        </w:r>
      </w:hyperlink>
      <w:r>
        <w:t xml:space="preserve"> Ethics of Artificial Intelligence in Education Practices, Challenges, and Debates (Wayne Holmes, Kaśka Porayska-Pomsta) (Z-Library).pdf, 18.09.2026.</w:t>
      </w:r>
    </w:p>
    <w:p>
      <w:pPr>
        <w:ind w:left="709" w:hanging="709"/>
      </w:pPr>
      <w:r>
        <w:t xml:space="preserve">Molina, E., Cobo, C., Pineda, J., Rovner, H. (2024). AI Revolution in Education: What you need to know. Digital Innovations in Education, No. 1. World Bank // URL: </w:t>
      </w:r>
      <w:hyperlink r:id="rId15">
        <w:r>
          <w:rPr>
            <w:color w:val="0563C1"/>
            <w:u w:val="single"/>
          </w:rPr>
          <w:t xml:space="preserve">https://documents1.worldbank.org/curated/en/099734306182493324/pdf/IDU152823b13109c514ebd19c241a289470b6902.pdf</w:t>
        </w:r>
      </w:hyperlink>
      <w:r>
        <w:t>,</w:t>
      </w:r>
      <w:r>
        <w:t xml:space="preserve"> 18.09.2026.</w:t>
      </w:r>
    </w:p>
    <w:p>
      <w:pPr>
        <w:ind w:left="709" w:hanging="709"/>
      </w:pPr>
      <w:r>
        <w:t xml:space="preserve">Muhammad Tahir, F. D. H., Mudasir R. S. (2024). Role of artificial intelligence in education: A conceptual review // World Journal of Advanced Research and Reviews, Vol. 22, No. 1, pp. 1469-1475. ISSN 2581-9615. </w:t>
      </w:r>
      <w:hyperlink r:id="rId16">
        <w:r>
          <w:rPr>
            <w:color w:val="0563C1"/>
            <w:u w:val="single"/>
          </w:rPr>
          <w:t xml:space="preserve">https://doi.org/10.30574/wjarr.2024.22.1.1217</w:t>
        </w:r>
      </w:hyperlink>
      <w:r>
        <w:t xml:space="preserve"> // URL: </w:t>
      </w:r>
      <w:hyperlink r:id="rId17">
        <w:r>
          <w:rPr>
            <w:color w:val="0563C1"/>
            <w:u w:val="single"/>
          </w:rPr>
          <w:t xml:space="preserve">https://wjarr.com/sites/default/files/fulltext_pdf/WJARR-2024-1217.pdf</w:t>
        </w:r>
      </w:hyperlink>
      <w:r>
        <w:t>,</w:t>
      </w:r>
      <w:r>
        <w:t xml:space="preserve"> 18.09.2026.</w:t>
      </w:r>
    </w:p>
    <w:p>
      <w:pPr>
        <w:ind w:left="709" w:hanging="709"/>
      </w:pPr>
      <w:r>
        <w:t xml:space="preserve">Porayska-Pomsta, K., Holmes, W., Nemorin, S. (n.d.). The Ethics of AI in Education. In: Handbook of Artificial Intelligence in Education, Chapter 26, edited by du Boulay, B., Mitrovic, A., Yacef, K. // URL: </w:t>
      </w:r>
      <w:hyperlink r:id="rId18">
        <w:r>
          <w:rPr>
            <w:color w:val="0563C1"/>
            <w:u w:val="single"/>
          </w:rPr>
          <w:t xml:space="preserve">https://arxiv.org/pdf/2406.11842</w:t>
        </w:r>
      </w:hyperlink>
      <w:r>
        <w:t>,</w:t>
      </w:r>
      <w:r>
        <w:t xml:space="preserve"> 18.09.2026.</w:t>
      </w:r>
    </w:p>
    <w:p>
      <w:pPr>
        <w:ind w:left="709" w:hanging="709"/>
      </w:pPr>
      <w:r>
        <w:t xml:space="preserve">Rakhmatullaev, M. (2025). Analysis of Current Trends and Activities Related to the Integration of Artificial Intelligence into Higher Education In Central Asia and Beyond // URL: </w:t>
      </w:r>
      <w:hyperlink r:id="rId19">
        <w:r>
          <w:rPr>
            <w:color w:val="0563C1"/>
            <w:u w:val="single"/>
          </w:rPr>
          <w:t xml:space="preserve">https://en.ichei.org/static/upload/2025/07/17/202507176708.pdf</w:t>
        </w:r>
      </w:hyperlink>
      <w:r>
        <w:t>,</w:t>
      </w:r>
      <w:r>
        <w:t xml:space="preserve"> 18.09.2026.</w:t>
      </w:r>
    </w:p>
    <w:p>
      <w:pPr>
        <w:ind w:left="709" w:hanging="709"/>
      </w:pPr>
      <w:r>
        <w:t xml:space="preserve">Tovmasyan, G. (2026). Artificial intelligence in Armenian higher education: Lecturers’ perspectives on opportunities and challenges // Issues in Educational Research, Vol. 36, No. 1, p. 354 // URL: </w:t>
      </w:r>
      <w:hyperlink r:id="rId20">
        <w:r>
          <w:rPr>
            <w:color w:val="0563C1"/>
            <w:u w:val="single"/>
          </w:rPr>
          <w:t xml:space="preserve">https://www.iier.org.au/iier36/tovmasyan.pdf</w:t>
        </w:r>
      </w:hyperlink>
      <w:r>
        <w:t>,</w:t>
      </w:r>
      <w:r>
        <w:t xml:space="preserve"> 18.09.2026.</w:t>
      </w:r>
    </w:p>
    <w:sectPr w:rsidR="00FC693F" w:rsidRPr="0006063C" w:rsidSect="00034616">
      <w:footerReference w:type="default" r:id="rId21"/>
      <w:pgSz w:w="11906" w:h="16838"/>
      <w:pgMar w:top="1134" w:right="56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GHEA Grapalat" w:hAnsi="GHEA Grapalat" w:eastAsia="GHEA Grapalat" w:cs="GHEA Grapalat"/>
      <w:sz w:val="24"/>
      <w:lang w:val="hy-AM" w:bidi="hy-AM"/>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GHEA Grapalat" w:hAnsi="GHEA Grapalat" w:eastAsia="GHEA Grapalat" w:cs="GHEA Grapalat"/>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GHEA Grapalat" w:hAnsi="GHEA Grapalat" w:eastAsia="GHEA Grapalat" w:cs="GHEA Grapalat"/>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GHEA Grapalat" w:hAnsi="GHEA Grapalat" w:eastAsia="GHEA Grapalat" w:cs="GHEA Grapalat"/>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921" w:val="right" w:leader="dot"/>
      </w:tabs>
      <w:spacing w:after="80" w:before="40"/>
      <w:ind w:left="0" w:firstLine="0"/>
    </w:pPr>
    <w:rPr>
      <w:rFonts w:ascii="GHEA Grapalat" w:hAnsi="GHEA Grapalat"/>
      <w:b w:val="0"/>
      <w:sz w:val="24"/>
    </w:rPr>
  </w:style>
  <w:style w:type="paragraph" w:customStyle="1" w:styleId="TOC2">
    <w:name w:val="TOC 2"/>
    <w:pPr>
      <w:tabs>
        <w:tab w:pos="9354" w:val="right" w:leader="dot"/>
      </w:tabs>
      <w:spacing w:after="80" w:before="0"/>
      <w:ind w:left="567" w:firstLine="0"/>
    </w:pPr>
    <w:rPr>
      <w:rFonts w:ascii="GHEA Grapalat" w:hAnsi="GHEA Grapalat"/>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lobalscientificjournal.com/researchpaper/ETHICAL_CONCERNS_IN_ARTIFICIAL_INTELLIGENCE_DRIVEN_EDUCATION_PERPECTIVE_FROM_EDUCATORS_AND_STUDENTS.pdf" TargetMode="External"/><Relationship Id="rId10" Type="http://schemas.openxmlformats.org/officeDocument/2006/relationships/hyperlink" Target="https://doi.org/10.1017/S104909652400115X" TargetMode="External"/><Relationship Id="rId11" Type="http://schemas.openxmlformats.org/officeDocument/2006/relationships/hyperlink" Target="https://www.cambridge.org/core/services/aop-cambridge-core/content/view/898D75BDD358A5D166E9D828D7103E14/S104909652400115Xa.pdf/role_of_artificial_intelligence_in_higher_education_the_case_of_armenia.pdf" TargetMode="External"/><Relationship Id="rId12" Type="http://schemas.openxmlformats.org/officeDocument/2006/relationships/hyperlink" Target="https://doi.org/10.30574/msarr.2024.10.2.0039" TargetMode="External"/><Relationship Id="rId13" Type="http://schemas.openxmlformats.org/officeDocument/2006/relationships/hyperlink" Target="https://magnascientiapub.com/journals/msarr/sites/default/files/MSARR-2024-0039.pdf" TargetMode="External"/><Relationship Id="rId14" Type="http://schemas.openxmlformats.org/officeDocument/2006/relationships/hyperlink" Target="https://newteacherlibraryandtools.square.site/uploads/b/e4443390-f724-11ec-9291-b5b724deb1dc/The" TargetMode="External"/><Relationship Id="rId15" Type="http://schemas.openxmlformats.org/officeDocument/2006/relationships/hyperlink" Target="https://documents1.worldbank.org/curated/en/099734306182493324/pdf/IDU152823b13109c514ebd19c241a289470b6902.pdf" TargetMode="External"/><Relationship Id="rId16" Type="http://schemas.openxmlformats.org/officeDocument/2006/relationships/hyperlink" Target="https://doi.org/10.30574/wjarr.2024.22.1.1217" TargetMode="External"/><Relationship Id="rId17" Type="http://schemas.openxmlformats.org/officeDocument/2006/relationships/hyperlink" Target="https://wjarr.com/sites/default/files/fulltext_pdf/WJARR-2024-1217.pdf" TargetMode="External"/><Relationship Id="rId18" Type="http://schemas.openxmlformats.org/officeDocument/2006/relationships/hyperlink" Target="https://arxiv.org/pdf/2406.11842" TargetMode="External"/><Relationship Id="rId19" Type="http://schemas.openxmlformats.org/officeDocument/2006/relationships/hyperlink" Target="https://en.ichei.org/static/upload/2025/07/17/202507176708.pdf" TargetMode="External"/><Relationship Id="rId20" Type="http://schemas.openxmlformats.org/officeDocument/2006/relationships/hyperlink" Target="https://www.iier.org.au/iier36/tovmasyan.pdf"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