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sz w:val="32"/>
        </w:rPr>
        <w:t>«Աշխատանքային իրավունք Հայաստանի Հանրապետություն»</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8"/>
        </w:rPr>
        <w:t>Ուսանող՝ [Անուն Ազգանուն]</w:t>
      </w: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val="0"/>
          <w:sz w:val="24"/>
        </w:rPr>
        <w:t>Գիտական ղեկավար՝ [գիտական աստիճան, կոչում, Անուն Ազգանուն]</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4"/>
        </w:rPr>
        <w:t>2026</w:t>
      </w:r>
    </w:p>
    <w:p>
      <w:pPr>
        <w:pageBreakBefore/>
        <w:spacing w:after="240"/>
        <w:ind w:firstLine="0" w:left="0"/>
        <w:jc w:val="center"/>
      </w:pPr>
      <w:r>
        <w:rPr>
          <w:rFonts w:ascii="GHEA Grapalat" w:hAnsi="GHEA Grapalat"/>
          <w:b/>
          <w:sz w:val="28"/>
        </w:rPr>
        <w:t>Բովանդակություն</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GHEA Grapalat" w:hAnsi="GHEA Grapalat"/>
          <w:sz w:val="24"/>
        </w:rPr>
        <w:t>Անոտացիա</w:t>
      </w:r>
      <w:r>
        <w:fldChar w:fldCharType="end"/>
      </w:r>
      <w:r>
        <w:rPr>
          <w:rFonts w:ascii="GHEA Grapalat" w:hAnsi="GHEA Grapalat"/>
          <w:sz w:val="24"/>
        </w:rPr>
        <w:tab/>
      </w:r>
      <w:r>
        <w:fldChar w:fldCharType="begin" w:dirty="true"/>
      </w:r>
      <w:r>
        <w:instrText xml:space="preserve"> PAGEREF _Toc_heading_0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"_Toc_heading_1" </w:instrText>
      </w:r>
      <w:r>
        <w:fldChar w:fldCharType="separate"/>
      </w:r>
      <w:r>
        <w:rPr>
          <w:rFonts w:ascii="GHEA Grapalat" w:hAnsi="GHEA Grapalat"/>
          <w:sz w:val="24"/>
        </w:rPr>
        <w:t>Ներածություն</w:t>
      </w:r>
      <w:r>
        <w:fldChar w:fldCharType="end"/>
      </w:r>
      <w:r>
        <w:rPr>
          <w:rFonts w:ascii="GHEA Grapalat" w:hAnsi="GHEA Grapalat"/>
          <w:sz w:val="24"/>
        </w:rPr>
        <w:tab/>
      </w:r>
      <w:r>
        <w:fldChar w:fldCharType="begin" w:dirty="true"/>
      </w:r>
      <w:r>
        <w:instrText xml:space="preserve"> PAGEREF _Toc_heading_1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"_Toc_heading_2" </w:instrText>
      </w:r>
      <w:r>
        <w:fldChar w:fldCharType="separate"/>
      </w:r>
      <w:r>
        <w:rPr>
          <w:rFonts w:ascii="GHEA Grapalat" w:hAnsi="GHEA Grapalat"/>
          <w:sz w:val="24"/>
        </w:rPr>
        <w:t>Գլուխ 1. Աշխատանքային իրավունքի տեսական հիմքերը և զարգացումը Հայաստանի Հանրապետությունում</w:t>
      </w:r>
      <w:r>
        <w:fldChar w:fldCharType="end"/>
      </w:r>
      <w:r>
        <w:rPr>
          <w:rFonts w:ascii="GHEA Grapalat" w:hAnsi="GHEA Grapalat"/>
          <w:sz w:val="24"/>
        </w:rPr>
        <w:tab/>
      </w:r>
      <w:r>
        <w:fldChar w:fldCharType="begin" w:dirty="true"/>
      </w:r>
      <w:r>
        <w:instrText xml:space="preserve"> PAGEREF _Toc_heading_2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"_Toc_heading_3" </w:instrText>
      </w:r>
      <w:r>
        <w:fldChar w:fldCharType="separate"/>
      </w:r>
      <w:r>
        <w:rPr>
          <w:rFonts w:ascii="GHEA Grapalat" w:hAnsi="GHEA Grapalat"/>
          <w:sz w:val="24"/>
        </w:rPr>
        <w:t>1.1. Աշխատանքային իրավունքի հասկացությունը, սկզբունքները և աղբյուրները</w:t>
      </w:r>
      <w:r>
        <w:fldChar w:fldCharType="end"/>
      </w:r>
      <w:r>
        <w:rPr>
          <w:rFonts w:ascii="GHEA Grapalat" w:hAnsi="GHEA Grapalat"/>
          <w:sz w:val="24"/>
        </w:rPr>
        <w:tab/>
      </w:r>
      <w:r>
        <w:fldChar w:fldCharType="begin" w:dirty="true"/>
      </w:r>
      <w:r>
        <w:instrText xml:space="preserve"> PAGEREF _Toc_heading_3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"_Toc_heading_4" </w:instrText>
      </w:r>
      <w:r>
        <w:fldChar w:fldCharType="separate"/>
      </w:r>
      <w:r>
        <w:rPr>
          <w:rFonts w:ascii="GHEA Grapalat" w:hAnsi="GHEA Grapalat"/>
          <w:sz w:val="24"/>
        </w:rPr>
        <w:t>1.2. ՀՀ աշխատանքային օրենսդրության զարգացման պատմական ակնարկ</w:t>
      </w:r>
      <w:r>
        <w:fldChar w:fldCharType="end"/>
      </w:r>
      <w:r>
        <w:rPr>
          <w:rFonts w:ascii="GHEA Grapalat" w:hAnsi="GHEA Grapalat"/>
          <w:sz w:val="24"/>
        </w:rPr>
        <w:tab/>
      </w:r>
      <w:r>
        <w:fldChar w:fldCharType="begin" w:dirty="true"/>
      </w:r>
      <w:r>
        <w:instrText xml:space="preserve"> PAGEREF _Toc_heading_4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"_Toc_heading_5" </w:instrText>
      </w:r>
      <w:r>
        <w:fldChar w:fldCharType="separate"/>
      </w:r>
      <w:r>
        <w:rPr>
          <w:rFonts w:ascii="GHEA Grapalat" w:hAnsi="GHEA Grapalat"/>
          <w:sz w:val="24"/>
        </w:rPr>
        <w:t>Գլուխ 2. Աշխատանքային հարաբերությունների կարգավորման առանձնահատկությունները ՀՀ-ում</w:t>
      </w:r>
      <w:r>
        <w:fldChar w:fldCharType="end"/>
      </w:r>
      <w:r>
        <w:rPr>
          <w:rFonts w:ascii="GHEA Grapalat" w:hAnsi="GHEA Grapalat"/>
          <w:sz w:val="24"/>
        </w:rPr>
        <w:tab/>
      </w:r>
      <w:r>
        <w:fldChar w:fldCharType="begin" w:dirty="true"/>
      </w:r>
      <w:r>
        <w:instrText xml:space="preserve"> PAGEREF _Toc_heading_5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"_Toc_heading_6" </w:instrText>
      </w:r>
      <w:r>
        <w:fldChar w:fldCharType="separate"/>
      </w:r>
      <w:r>
        <w:rPr>
          <w:rFonts w:ascii="GHEA Grapalat" w:hAnsi="GHEA Grapalat"/>
          <w:sz w:val="24"/>
        </w:rPr>
        <w:t>2.1. Աշխատանքային պայմանագիր. կնքման, փոփոխման և լուծման կարգը</w:t>
      </w:r>
      <w:r>
        <w:fldChar w:fldCharType="end"/>
      </w:r>
      <w:r>
        <w:rPr>
          <w:rFonts w:ascii="GHEA Grapalat" w:hAnsi="GHEA Grapalat"/>
          <w:sz w:val="24"/>
        </w:rPr>
        <w:tab/>
      </w:r>
      <w:r>
        <w:fldChar w:fldCharType="begin" w:dirty="true"/>
      </w:r>
      <w:r>
        <w:instrText xml:space="preserve"> PAGEREF _Toc_heading_6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"_Toc_heading_7" </w:instrText>
      </w:r>
      <w:r>
        <w:fldChar w:fldCharType="separate"/>
      </w:r>
      <w:r>
        <w:rPr>
          <w:rFonts w:ascii="GHEA Grapalat" w:hAnsi="GHEA Grapalat"/>
          <w:sz w:val="24"/>
        </w:rPr>
        <w:t>2.2. Աշխատաժամանակի և հանգստի ժամանակի իրավական կարգավորումը</w:t>
      </w:r>
      <w:r>
        <w:fldChar w:fldCharType="end"/>
      </w:r>
      <w:r>
        <w:rPr>
          <w:rFonts w:ascii="GHEA Grapalat" w:hAnsi="GHEA Grapalat"/>
          <w:sz w:val="24"/>
        </w:rPr>
        <w:tab/>
      </w:r>
      <w:r>
        <w:fldChar w:fldCharType="begin" w:dirty="true"/>
      </w:r>
      <w:r>
        <w:instrText xml:space="preserve"> PAGEREF _Toc_heading_7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"_Toc_heading_8" </w:instrText>
      </w:r>
      <w:r>
        <w:fldChar w:fldCharType="separate"/>
      </w:r>
      <w:r>
        <w:rPr>
          <w:rFonts w:ascii="GHEA Grapalat" w:hAnsi="GHEA Grapalat"/>
          <w:sz w:val="24"/>
        </w:rPr>
        <w:t>2.3. Աշխատանքային վեճեր և դրանց լուծման մեխանիզմները</w:t>
      </w:r>
      <w:r>
        <w:fldChar w:fldCharType="end"/>
      </w:r>
      <w:r>
        <w:rPr>
          <w:rFonts w:ascii="GHEA Grapalat" w:hAnsi="GHEA Grapalat"/>
          <w:sz w:val="24"/>
        </w:rPr>
        <w:tab/>
      </w:r>
      <w:r>
        <w:fldChar w:fldCharType="begin" w:dirty="true"/>
      </w:r>
      <w:r>
        <w:instrText xml:space="preserve"> PAGEREF _Toc_heading_8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"_Toc_heading_9" </w:instrText>
      </w:r>
      <w:r>
        <w:fldChar w:fldCharType="separate"/>
      </w:r>
      <w:r>
        <w:rPr>
          <w:rFonts w:ascii="GHEA Grapalat" w:hAnsi="GHEA Grapalat"/>
          <w:sz w:val="24"/>
        </w:rPr>
        <w:t>Եզրակացություն</w:t>
      </w:r>
      <w:r>
        <w:fldChar w:fldCharType="end"/>
      </w:r>
      <w:r>
        <w:rPr>
          <w:rFonts w:ascii="GHEA Grapalat" w:hAnsi="GHEA Grapalat"/>
          <w:sz w:val="24"/>
        </w:rPr>
        <w:tab/>
      </w:r>
      <w:r>
        <w:fldChar w:fldCharType="begin" w:dirty="true"/>
      </w:r>
      <w:r>
        <w:instrText xml:space="preserve"> PAGEREF _Toc_heading_9 \h </w:instrText>
      </w:r>
      <w:r>
        <w:fldChar w:fldCharType="separate"/>
      </w:r>
      <w:r>
        <w:rPr>
          <w:rFonts w:ascii="GHEA Grapalat" w:hAnsi="GHEA Grapalat"/>
          <w:sz w:val="24"/>
        </w:rPr>
        <w:t>1</w:t>
      </w:r>
      <w:r>
        <w:fldChar w:fldCharType="end"/>
      </w:r>
    </w:p>
    <w:p>
      <w:pPr>
        <w:spacing w:after="0"/>
        <w:ind w:firstLine="0" w:left="0"/>
      </w:pPr>
      <w:r>
        <w:fldChar w:fldCharType="end"/>
      </w:r>
    </w:p>
    <w:p>
      <w:r>
        <w:br w:type="page"/>
      </w:r>
    </w:p>
    <w:p>
      <w:pPr>
        <w:pStyle w:val="Heading1"/>
      </w:pPr>
      <w:bookmarkStart w:id="100" w:name="_Toc_heading_0"/>
      <w:r>
        <w:t>Անոտացիա</w:t>
      </w:r>
      <w:bookmarkEnd w:id="100"/>
    </w:p>
    <w:p>
      <w:r>
        <w:t>Ավարտական աշխատանքը նվիրված է ՀՀ աշխատանքային իրավունքի հիմնախնդիրների համալիր ուսումնասիրությանը։ Թեմայի արդիականությունը պայմանավորված է ոլորտի շարունակական բարեփոխումներով և Հայաստանի ստանձնած միջազգային պարտավորություններով։ Հետազոտության օբյեկտը ՀՀ աշխատանքային իրավահարաբերություններն են, իսկ առարկան՝ աշխատանքային օրենսդրության առանցքային ինստիտուտները և դրանց կիրառման խնդիրները։ Աշխատանքի նպատակն է բացահայտել օրենսդրական բացերն ու հակասությունները՝ վերլուծելով աշխատանքային պայմանագրի, աշխատաժամանակի ու հանգստի ժամանակի, ինչպես նաև աշխատանքային վեճերի լուծմանն առնչվող կարգավորումները։</w:t>
      </w:r>
    </w:p>
    <w:p>
      <w:r>
        <w:t>Աշխատանքի արդյունքում վերլուծվել են օրենսդրական մի շարք բացեր, մասնավորապես՝ որոշակի ժամկետով պայմանագրերի չարաշահումը, աշխատանքից ազատման անհամաչափ հիմքերը և կոլեկտիվ վեճերի առարկայի նեղ սահմանումը։ Եզրահանգվում է, որ չնայած զգալի առաջընթացին՝ օրենսդրությունը դեռևս կատարելագործման կարիք ունի՝ աշխատողների իրավունքների պաշտպանության երաշխիքներն ուժեղացնելու և այն միջազգային չափանիշներին լիարժեք համապատասխանեցնելու համար։</w:t>
      </w:r>
    </w:p>
    <w:p>
      <w:r>
        <w:br w:type="page"/>
      </w:r>
    </w:p>
    <w:p>
      <w:pPr>
        <w:pStyle w:val="Heading1"/>
      </w:pPr>
      <w:bookmarkStart w:id="101" w:name="_Toc_heading_1"/>
      <w:r>
        <w:t>Ներածություն</w:t>
      </w:r>
      <w:bookmarkEnd w:id="101"/>
    </w:p>
    <w:p>
      <w:r>
        <w:t>Աշխատանքի և աշխատանքային հարաբերությունների իրավական կարգավորումը կարևոր նշանակություն ունի ոչ միայն մարդու իրավունքների պաշտպանության, այլև երկրի սոցիալ-տնտեսական զարգացման համար</w:t>
      </w:r>
      <w:r>
        <w:rPr>
          <w:rStyle w:val="FootnoteReference"/>
          <w:vertAlign w:val="superscript"/>
          <w:rFonts w:ascii="Aptos" w:hAnsi="Aptos" w:cs="Aptos"/>
        </w:rPr>
        <w:footnoteReference w:id="1"/>
      </w:r>
      <w:r>
        <w:t>։ Հայաստանի Հանրապետությունում այս ոլորտը գտնվում է շարունակական բարեփոխումների փուլում՝ սկսած 2004 թվականին աշխատանքային նոր օրենսգրքի ընդունումից, որը փոխարինեց խորհրդային ժամանակաշրջանից մնացած, սակայն փաստացի չկիրառվող օրենսդրությանը</w:t>
      </w:r>
      <w:r>
        <w:rPr>
          <w:rStyle w:val="FootnoteReference"/>
          <w:vertAlign w:val="superscript"/>
          <w:rFonts w:ascii="Aptos" w:hAnsi="Aptos" w:cs="Aptos"/>
        </w:rPr>
        <w:footnoteReference w:id="2"/>
      </w:r>
      <w:r>
        <w:t>։ Այդ ժամանակից ի վեր իրավական դաշտը բազմիցս ենթարկվել է փոփոխությունների՝ արձագանքելով ինչպես իրավակիրառ պրակտիկայում ի հայտ եկած խնդիրներին, այնպես էլ միջազգային պարտավորություններին։</w:t>
      </w:r>
    </w:p>
    <w:p>
      <w:r>
        <w:t>Թեմայի արդիականությունը հատկապես պայմանավորված է Հայաստանի ստանձնած միջազգային պարտավորություններով։ Մի կողմից՝ դա Աշխատանքի միջազգային կազմակերպության (ԱՄԿ) կոնվենցիաներին և Վերանայված եվրոպական սոցիալական խարտիայի պահանջներին օրենսդրության համապատասխանեցումն է</w:t>
      </w:r>
      <w:r>
        <w:rPr>
          <w:rStyle w:val="FootnoteReference"/>
          <w:vertAlign w:val="superscript"/>
          <w:rFonts w:ascii="Aptos" w:hAnsi="Aptos" w:cs="Aptos"/>
        </w:rPr>
        <w:footnoteReference w:id="3"/>
      </w:r>
      <w:r>
        <w:t>։ Մյուս կողմից՝ Եվրոպական միության հետ կնքված Համապարփակ և ընդլայնված գործընկերության համաձայնագիրը (CEPA) ենթադրում է հայաստանյան օրենսդրության մոտարկում ԵՄ իրավական ակտերին, մասնավորապես՝ աշխատանքային իրավունքների պաշտպանության և աշխատողների անվտանգության ու առողջության պահպանման ոլորտներում</w:t>
      </w:r>
      <w:r>
        <w:rPr>
          <w:rStyle w:val="FootnoteReference"/>
          <w:vertAlign w:val="superscript"/>
          <w:rFonts w:ascii="Aptos" w:hAnsi="Aptos" w:cs="Aptos"/>
        </w:rPr>
        <w:footnoteReference w:id="4"/>
      </w:r>
      <w:r>
        <w:t>։</w:t>
      </w:r>
    </w:p>
    <w:p>
      <w:r>
        <w:t>Չնայած իրականացված բարեփոխումներին՝ ոլորտում շարունակում են առկա մնալ մի շարք չլուծված խնդիրներ, որոնք մատնանշում են ինչպես տեղական փորձագետները, այնպես էլ միջազգային կառույցները։ Դրանց թվում են որոշակի ժամկետով կնքվող աշխատանքային պայմանագրերի չարաշահման դեպքերը</w:t>
      </w:r>
      <w:r>
        <w:t>,</w:t>
      </w:r>
      <w:r>
        <w:rPr>
          <w:rStyle w:val="FootnoteReference"/>
          <w:vertAlign w:val="superscript"/>
          <w:rFonts w:ascii="Aptos" w:hAnsi="Aptos" w:cs="Aptos"/>
        </w:rPr>
        <w:footnoteReference w:id="5"/>
      </w:r>
      <w:r>
        <w:t xml:space="preserve"> աշխատողների և գործատուների միջև քաղաքացիաիրավական պայմանագրերի կիրառմամբ աշխատանքային հարաբերությունները քողարկելու պրակտիկան</w:t>
      </w:r>
      <w:r>
        <w:t>,</w:t>
      </w:r>
      <w:r>
        <w:rPr>
          <w:rStyle w:val="FootnoteReference"/>
          <w:vertAlign w:val="superscript"/>
          <w:rFonts w:ascii="Aptos" w:hAnsi="Aptos" w:cs="Aptos"/>
        </w:rPr>
        <w:footnoteReference w:id="6"/>
      </w:r>
      <w:r>
        <w:t xml:space="preserve"> ինչպես նաև օրենսդրության որոշ բացեր, օրինակ՝ «հարկադիր աշխատանք» եզրույթի ոչ լիարժեք սահմանումը (Գյուրջյան, 2021, էջ 5–6)։ Այս և բազմաթիվ այլ հարցեր վկայում են, որ ՀՀ աշխատանքային իրավունքի ինստիտուտների համալիր ուսումնասիրությունը, առկա խնդիրների վերհանումը և զարգացման հեռանկարների վերլուծությունը շարունակում են մնալ արդիական։</w:t>
      </w:r>
    </w:p>
    <w:p>
      <w:r>
        <w:t>Հետազոտության օբյեկտը Հայաստանի Հանրապետությունում աշխատանքային իրավահարաբերությունների ոլորտում ծագող հասարակական հարաբերություններն են։ Հետազոտության առարկան ՀՀ աշխատանքային օրենսգրքի և հարակից իրավական ակտերի նորմերն են, ՀՀ վավերացրած միջազգային պայմանագրերը, դրանց կիրառման պրակտիկան, ինչպես նաև ոլորտի վերաբերյալ առկա գիտական և փորձագիտական վերլուծությունները։</w:t>
      </w:r>
    </w:p>
    <w:p>
      <w:r>
        <w:t>Սույն աշխատանքի նպատակն է համակողմանի վերլուծել ՀՀ աշխատանքային իրավունքի առանցքային ինստիտուտները, բացահայտել օրենսդրական և իրավակիրառ պրակտիկայում առկա հիմնախնդիրները՝ դրանք գնահատելով միջազգային չափանիշների և ժամանակակից իրավական մոտեցումների համատեքստում։ Նշված նպատակին հասնելու համար առաջադրվել են հետևյալ խնդիրները՝</w:t>
      </w:r>
    </w:p>
    <w:p>
      <w:r>
        <w:t>1.  ուսումնասիրել ՀՀ աշխատանքային օրենսդրության զարգացման պատմական ընթացքը՝ առանձնացնելով բարեփոխումների հիմնական փուլերը,</w:t>
      </w:r>
    </w:p>
    <w:p>
      <w:r>
        <w:t>2.  վերլուծել աշխատանքային իրավունքի հիմնարար սկզբունքները, աղբյուրների համակարգը և աշխատանքային հարաբերությունների հասկացությունը,</w:t>
      </w:r>
    </w:p>
    <w:p>
      <w:r>
        <w:t>3.  քննել աշխատանքային պայմանագրի կնքման, փոփոխման և լուծման իրավական կարգավորումները՝ մատնանշելով առկա խնդրահարույց դրույթները,</w:t>
      </w:r>
    </w:p>
    <w:p>
      <w:r>
        <w:t>4.  վերլուծել աշխատաժամանակի և հանգստի ժամանակի կարգավորման նորմերը՝ համադրելով դրանք միջազգային չափանիշների հետ,</w:t>
      </w:r>
    </w:p>
    <w:p>
      <w:r>
        <w:t>5.  ներկայացնել անհատական և կոլեկտիվ աշխատանքային վեճերի լուծման մեխանիզմները և դրանց կատարելագործման ուղիները։</w:t>
      </w:r>
    </w:p>
    <w:p>
      <w:r>
        <w:t>Աշխատանքը բաղկացած է ներածությունից, երկու գլխից, եզրակացությունից և օգտագործված գրականության ցանկից։ Առաջին գլխում՝ «Աշխատանքային իրավունքի տեսական հիմքերը և զարգացումը Հայաստանի Հանրապետությունում», ներկայացվում է ոլորտի օրենսդրության պատմական զարգացումը, վերլուծվում են աշխատանքային իրավունքի հասկացությունը, սկզբունքները և աղբյուրները։ Երկրորդ գլխում՝ «Աշխատանքային հարաբերությունների կարգավորման առանձնահատկությունները ՀՀ-ում», մանրամասն քննության են առնվում աշխատանքային իրավունքի առանձին ինստիտուտներ, այդ թվում՝ աշխատանքային պայմանագիրը, աշխատաժամանակի և հանգստի ժամանակի կարգավորումը, ինչպես նաև աշխատանքային վեճերի լուծման մեխանիզմները։</w:t>
      </w:r>
    </w:p>
    <w:p>
      <w:r>
        <w:br w:type="page"/>
      </w:r>
    </w:p>
    <w:p>
      <w:pPr>
        <w:pStyle w:val="Heading1"/>
      </w:pPr>
      <w:bookmarkStart w:id="102" w:name="_Toc_heading_2"/>
      <w:r>
        <w:t>Գլուխ 1. Աշխատանքային իրավունքի տեսական հիմքերը և զարգացումը Հայաստանի Հանրապետությունում</w:t>
      </w:r>
      <w:bookmarkEnd w:id="102"/>
    </w:p>
    <w:p>
      <w:pPr>
        <w:pStyle w:val="Heading2"/>
      </w:pPr>
      <w:bookmarkStart w:id="103" w:name="_Toc_heading_3"/>
      <w:r>
        <w:t>1.1. Աշխատանքային իրավունքի հասկացությունը, սկզբունքները և աղբյուրները</w:t>
      </w:r>
      <w:bookmarkEnd w:id="103"/>
    </w:p>
    <w:p>
      <w:r>
        <w:t>Աշխատանքը հանդես է գալիս որպես անձի կյանքի նյութական հիմք և սեփական անձի կայացման ու զարգացման կարևոր նախապայման</w:t>
      </w:r>
      <w:r>
        <w:rPr>
          <w:rStyle w:val="FootnoteReference"/>
          <w:vertAlign w:val="superscript"/>
          <w:rFonts w:ascii="Aptos" w:hAnsi="Aptos" w:cs="Aptos"/>
        </w:rPr>
        <w:footnoteReference w:id="7"/>
      </w:r>
      <w:r>
        <w:t>։ Այդ գործընթացում առաջացող հարաբերությունների կարգավորումը աշխատանքային իրավունքի առանցքային խնդիրն է։ Այն կարգավորում է կոլեկտիվ և անհատական աշխատանքային հարաբերությունները, սահմանում դրանց ծագման, փոփոխման և դադարման հիմքերն ու կարգը, ինչպես նաև կողմերի իրավունքներն ու պարտականությունները</w:t>
      </w:r>
      <w:r>
        <w:rPr>
          <w:rStyle w:val="FootnoteReference"/>
          <w:vertAlign w:val="superscript"/>
          <w:rFonts w:ascii="Aptos" w:hAnsi="Aptos" w:cs="Aptos"/>
        </w:rPr>
        <w:footnoteReference w:id="8"/>
      </w:r>
      <w:r>
        <w:t>։ Այս ենթագլխում քննվում են աշխատանքային իրավունքի հասկացությունը, հիմնարար սկզբունքները և աղբյուրների համակարգը Հայաստանի Հանրապետությունում։</w:t>
      </w:r>
    </w:p>
    <w:p>
      <w:r>
        <w:t>ՀՀ աշխատանքային օրենսգրքի 13-րդ հոդվածի համաձայն՝ աշխատանքային հարաբերությունները աշխատողի և գործատուի փոխադարձ համաձայնության վրա հիմնված հարաբերություններ են։ Այս հարաբերությունների շրջանակում աշխատողը որոշակի վարձատրության դիմաց անձամբ կատարում է աշխատանքային գործառույթներ՝ ենթարկվելով ներքին կարգապահական կանոններին, իսկ գործատուն ապահովում է օրենսդրությամբ և պայմանագրերով նախատեսված աշխատանքի պայմանները</w:t>
      </w:r>
      <w:r>
        <w:rPr>
          <w:rStyle w:val="FootnoteReference"/>
          <w:vertAlign w:val="superscript"/>
          <w:rFonts w:ascii="Aptos" w:hAnsi="Aptos" w:cs="Aptos"/>
        </w:rPr>
        <w:footnoteReference w:id="9"/>
      </w:r>
      <w:r>
        <w:t>։ Այս սահմանումից արդեն իսկ երևում են աշխատանքային հարաբերությունների առանցքային բնութագրիչները՝ գործունեության անձնական բնույթը, վճարովի լինելը և աշխատողի ենթակայությունը գործատուի սահմանած կարգուկանոնին։</w:t>
      </w:r>
    </w:p>
    <w:p>
      <w:r>
        <w:t>Աշխատանքային հարաբերությունների էությունը ավելի լավ հասկանալու համար կարևոր է դրանք տարբերակել քաղաքացիաիրավական հարաբերություններից։ Այս երկու ճյուղերն ունեն ինչպես առարկայական, այնպես էլ մեթոդական նմանություններ, ինչը երբեմն դժվարացնում է դրանց տարբերակումը</w:t>
      </w:r>
      <w:r>
        <w:rPr>
          <w:rStyle w:val="FootnoteReference"/>
          <w:vertAlign w:val="superscript"/>
          <w:rFonts w:ascii="Aptos" w:hAnsi="Aptos" w:cs="Aptos"/>
        </w:rPr>
        <w:footnoteReference w:id="10"/>
      </w:r>
      <w:r>
        <w:t>։ Հիմնական տարբերությունն այն է, որ աշխատանքային պայմանագիրը կնքվում է որոշակի պաշտոնի համար և ենթադրում է պարբերական գործառույթների կատարում, մինչդեռ քաղաքացիաիրավական պայմանագրի (օրինակ՝ կապալի կամ ծառայությունների մատուցման) առարկան կոնկրետ աշխատանքի վերջնական արդյունքն է, ոչ թե գործընթացը։ Աշխատողը ենթարկվում է գործատուի ներքին կարգապահությանը և ղեկավարության հրահանգներին, մինչդեռ քաղաքացիաիրավական պայմանագրի կատարողն ինքնուրույն է կազմակերպում իր աշխատանքը և պատասխանատու է միայն վերջնական արդյունքի համար</w:t>
      </w:r>
      <w:r>
        <w:rPr>
          <w:rStyle w:val="FootnoteReference"/>
          <w:vertAlign w:val="superscript"/>
          <w:rFonts w:ascii="Aptos" w:hAnsi="Aptos" w:cs="Aptos"/>
        </w:rPr>
        <w:footnoteReference w:id="11"/>
      </w:r>
      <w:r>
        <w:t>։</w:t>
      </w:r>
    </w:p>
    <w:p>
      <w:r>
        <w:t>Գործնականում, սակայն, հաճախ են դեպքերը, երբ գործատուները, խուսափելու համար աշխատանքային օրենսդրությամբ սահմանված պարտականություններից (օրինակ՝ արձակուրդի, նպաստների տրամադրում), աշխատողների հետ կնքում են ոչ թե աշխատանքային, այլ քաղաքացիաիրավական պայմանագրեր</w:t>
      </w:r>
      <w:r>
        <w:rPr>
          <w:rStyle w:val="FootnoteReference"/>
          <w:vertAlign w:val="superscript"/>
          <w:rFonts w:ascii="Aptos" w:hAnsi="Aptos" w:cs="Aptos"/>
        </w:rPr>
        <w:footnoteReference w:id="12"/>
      </w:r>
      <w:r>
        <w:t>։ Սա լուրջ խնդիր է, որը զրկում է աշխատողին մի շարք սոցիալական և իրավական երաշխիքներից։ Այս խնդրի լուծմանն է ուղղված ՀՀ աշխատանքային օրենսգրքի 7-րդ հոդվածի 6-րդ կետը, որը սահմանում է՝ եթե դատական կարգով հաստատվում է, որ քաղաքացիաիրավական բնույթի պայմանագրով փաստացի կարգավորվում են աշխատանքային հարաբերություններ, ապա այդ հարաբերությունների վրա տարածվում են աշխատանքային օրենսդրության նորմերը</w:t>
      </w:r>
      <w:r>
        <w:rPr>
          <w:rStyle w:val="FootnoteReference"/>
          <w:vertAlign w:val="superscript"/>
          <w:rFonts w:ascii="Aptos" w:hAnsi="Aptos" w:cs="Aptos"/>
        </w:rPr>
        <w:footnoteReference w:id="13"/>
      </w:r>
      <w:r>
        <w:t>։ Այս դրույթը կարևոր պաշտպանական մեխանիզմ է, որը թույլ է տալիս վերականգնել աշխատողի իրավունքները՝ անկախ պայմանագրի ձևական անվանումից։</w:t>
      </w:r>
    </w:p>
    <w:p>
      <w:r>
        <w:t>Աշխատանքային հարաբերությունները հիմնված են մի շարք հիմնարար սկզբունքների վրա, որոնք ամրագրված են ՀՀ աշխատանքային օրենսգրքի 3-րդ հոդվածում։ Դրանցից առավել կարևոր են՝</w:t>
      </w:r>
    </w:p>
    <w:p>
      <w:r>
        <w:t>- Աշխատանքի ազատությունը, որը ներառում է աշխատանքի, մասնագիտության և գործունեության տեսակի ազատ ընտրության իրավունքը։</w:t>
      </w:r>
    </w:p>
    <w:p>
      <w:r>
        <w:t>- Հարկադիր աշխատանքի արգելումը։</w:t>
      </w:r>
    </w:p>
    <w:p>
      <w:r>
        <w:t>- Կողմերի իրավահավասարությունը և խտրականության արգելքը՝ անկախ սեռից, ռասայից, տարիքից, դավանանքից և աշխատողի գործնական հատկանիշների հետ չկապված այլ հանգամանքներից։</w:t>
      </w:r>
    </w:p>
    <w:p>
      <w:r>
        <w:t>- Աշխատանքի արդարացի պայմանների իրավունքի ապահովումը, ներառյալ անվտանգ և հիգիենայի պահանջները բավարարող պայմանները։</w:t>
      </w:r>
    </w:p>
    <w:p>
      <w:r>
        <w:t>- Ժամանակին և ամբողջությամբ արդարացի վարձատրության իրավունքի ապահովումը, որը ցածր չէ օրենքով սահմանված նվազագույնից։</w:t>
      </w:r>
    </w:p>
    <w:p>
      <w:r>
        <w:t>- Աշխատանքային հարաբերությունների կայունությունը</w:t>
      </w:r>
      <w:r>
        <w:rPr>
          <w:rStyle w:val="FootnoteReference"/>
          <w:vertAlign w:val="superscript"/>
          <w:rFonts w:ascii="Aptos" w:hAnsi="Aptos" w:cs="Aptos"/>
        </w:rPr>
        <w:footnoteReference w:id="14"/>
      </w:r>
      <w:r>
        <w:t>։</w:t>
      </w:r>
    </w:p>
    <w:p>
      <w:r>
        <w:t>Այս սկզբունքների հռչակումը, սակայն, դեռևս չի նշանակում դրանց անխափան կիրառումը։ Օրինակ, թեև հարկադիր աշխատանքի արգելքը սահմանադրական նորմ է և ամրագրված է Օրենսգրքում, երկար տարիներ օրենսդրության մեջ բացակայում էր «հարկադիր կամ պարտադիր աշխատանք» եզրույթի սահմանումը։ Սա իրավակիրառ պրակտիկայում ստիպում էր ուղղակիորեն հղում կատարել Աշխատանքի միջազգային կազմակերպության (ԱՄԿ) թիվ 29 կոնվենցիային</w:t>
      </w:r>
      <w:r>
        <w:rPr>
          <w:rStyle w:val="FootnoteReference"/>
          <w:vertAlign w:val="superscript"/>
          <w:rFonts w:ascii="Aptos" w:hAnsi="Aptos" w:cs="Aptos"/>
        </w:rPr>
        <w:footnoteReference w:id="15"/>
      </w:r>
      <w:r>
        <w:t>։</w:t>
      </w:r>
    </w:p>
    <w:p>
      <w:r>
        <w:t>Խնդրի կարգավորմանն ուղղված օրենսդրական նախաձեռնությունները նույնպես զերծ չեն քննադատությունից։ Մասնավորապես, շրջանառության մեջ դրված նախագծով առաջարկվող սահմանումը, որ հարկադիր աշխատանքը «որևէ պատժի գործադրման սպառնալիքով» պահանջվող աշխատանք է, գնահատվում է որպես խնդրահարույց։ Փորձագիտական կարծիքով՝ սա ԱՄԿ կոնվենցիայի «threat of any penalty» արտահայտության բառացի թարգմանությունն է, որը հայկական իրավական համակարգում կարող է նեղ մեկնաբանվել՝ ընդգրկելով միայն քրեական կամ վարչական պատիժները։ Մինչդեռ ԱՄԿ-ի մեկնաբանմամբ՝ «պատժի սպառնալիքը» շատ ավելի լայն հասկացություն է և ներառում է հարկադրանքի ցանկացած ձև՝ լինի դա ֆիզիկական բռնություն, հոգեբանական ճնշում, աշխատավարձի չվճարում, առաջխաղացումից զրկելու սպառնալիք և այլն (Գյուրջյան, 2021, էջ 5–6)։ Հետևաբար, օրենսդրական այս բացը լիարժեք լրացված համարելու համար անհրաժեշտ է ավելի լայն և ընդգրկուն սահմանում։</w:t>
      </w:r>
    </w:p>
    <w:p>
      <w:r>
        <w:t>Աշխատանքային հարաբերությունները կարգավորվում են իրավական ակտերի հստակ հիերարխիկ համակարգով, որոնք կոչվում են աշխատանքային իրավունքի աղբյուրներ։ Համաձայն ՀՀ աշխատանքային օրենսգրքի 4-րդ հոդվածի՝ ՀՀ-ում աշխատանքային հարաբերությունները կարգավորվում են հետևյալ աղբյուրներով՝</w:t>
      </w:r>
    </w:p>
    <w:p>
      <w:r>
        <w:t>1. ՀՀ Սահմանադրություն։ Որպես բարձրագույն իրավաբանական ուժ ունեցող փաստաթուղթ՝ Սահմանադրությունը ամրագրում է հիմնարար աշխատանքային իրավունքները, օրինակ՝ աշխատանքի ազատ ընտրության իրավունքը (ՀՀ Սահմանադրության 57-րդ հոդված)</w:t>
      </w:r>
      <w:r>
        <w:rPr>
          <w:rStyle w:val="FootnoteReference"/>
          <w:vertAlign w:val="superscript"/>
          <w:rFonts w:ascii="Aptos" w:hAnsi="Aptos" w:cs="Aptos"/>
        </w:rPr>
        <w:footnoteReference w:id="16"/>
      </w:r>
      <w:r>
        <w:t>։</w:t>
      </w:r>
    </w:p>
    <w:p>
      <w:r>
        <w:t>2. ՀՀ միջազգային պայմանագրեր։ ՀՀ աշխատանքային օրենսգրքի 9-րդ հոդվածը սահմանում է, որ եթե միջազգային պայմանագրով սահմանված են այլ նորմեր, քան Օրենսգրքով, ապա կիրառվում են պայմանագրի նորմերը</w:t>
      </w:r>
      <w:r>
        <w:rPr>
          <w:rStyle w:val="FootnoteReference"/>
          <w:vertAlign w:val="superscript"/>
          <w:rFonts w:ascii="Aptos" w:hAnsi="Aptos" w:cs="Aptos"/>
        </w:rPr>
        <w:footnoteReference w:id="17"/>
      </w:r>
      <w:r>
        <w:t>։ Սա ընդգծում է միջազգային իրավունքի գերակայությունը ներպետական օրենսդրության նկատմամբ։ Այս համատեքստում կարևոր դեր ունեն ԱՄԿ կոնվենցիաները, Եվրոպական սոցիալական խարտիան (վերանայված) և ԵՄ-Հայաստան Համապարփակ և ընդլայնված գործընկերության համաձայնագիրը (CEPA), որով Հայաստանը պարտավորվել է մոտարկել իր օրենսդրությունը ԵՄ չափանիշներին</w:t>
      </w:r>
      <w:r>
        <w:rPr>
          <w:rStyle w:val="FootnoteReference"/>
          <w:vertAlign w:val="superscript"/>
          <w:rFonts w:ascii="Aptos" w:hAnsi="Aptos" w:cs="Aptos"/>
        </w:rPr>
        <w:footnoteReference w:id="18"/>
      </w:r>
      <w:r>
        <w:t>։</w:t>
      </w:r>
    </w:p>
    <w:p>
      <w:r>
        <w:t>3. ՀՀ աշխատանքային օրենսգիրքը և այլ օրենքներ։ Օրենսգիրքը ոլորտը կարգավորող հիմնական, կոդիֆիկացված ակտն է, որը սահմանում է ընդհանուր և հատուկ նորմեր։ Առանձին բնագավառների առանձնահատկություններ կարող են սահմանվել նաև այլ օրենքներով</w:t>
      </w:r>
      <w:r>
        <w:rPr>
          <w:rStyle w:val="FootnoteReference"/>
          <w:vertAlign w:val="superscript"/>
          <w:rFonts w:ascii="Aptos" w:hAnsi="Aptos" w:cs="Aptos"/>
        </w:rPr>
        <w:footnoteReference w:id="19"/>
      </w:r>
      <w:r>
        <w:t>։</w:t>
      </w:r>
    </w:p>
    <w:p>
      <w:r>
        <w:t>4. Այլ իրավական ակտեր (ենթաօրենսդրական ակտեր)։ Սրանք ներառում են ՀՀ նախագահի հրամանագրերը, կառավարության որոշումները և գերատեսչական ակտերը, որոնք ընդունվում են օրենքների հիման վրա և դրանց կատարումն ապահովելու նպատակով։</w:t>
      </w:r>
    </w:p>
    <w:p>
      <w:r>
        <w:t>5. Կոլեկտիվ և աշխատանքային պայմանագրեր։ Այս պայմանագրերը կարգավորում են հարաբերությունները կոնկրետ գործատուի և աշխատողների կամ նրանց ներկայացուցիչների միջև։ Դրանք կարևոր աղբյուր են, սակայն չեն կարող բովանդակել այնպիսի պայմաններ, որոնք աշխատողի դրությունը վատթարացնում են՝ համեմատած օրենսդրությամբ սահմանված երաշխիքների հետ</w:t>
      </w:r>
      <w:r>
        <w:rPr>
          <w:rStyle w:val="FootnoteReference"/>
          <w:vertAlign w:val="superscript"/>
          <w:rFonts w:ascii="Aptos" w:hAnsi="Aptos" w:cs="Aptos"/>
        </w:rPr>
        <w:footnoteReference w:id="20"/>
      </w:r>
      <w:r>
        <w:t>։</w:t>
      </w:r>
    </w:p>
    <w:p>
      <w:r>
        <w:t>6. Գործատուի ներքին (լոկալ) և անհատական իրավական ակտեր։ Սրանք ներառում են հրամանները, կարգադրությունները, ներքին կարգապահական կանոնները, աշխատանքային գրաֆիկները։ Այս ակտերը նույնպես չեն կարող սահմանել աշխատողի համար ավելի նվազ բարենպաստ պայմաններ, քան նախատեսված են օրենքով</w:t>
      </w:r>
      <w:r>
        <w:rPr>
          <w:rStyle w:val="FootnoteReference"/>
          <w:vertAlign w:val="superscript"/>
          <w:rFonts w:ascii="Aptos" w:hAnsi="Aptos" w:cs="Aptos"/>
        </w:rPr>
        <w:footnoteReference w:id="21"/>
      </w:r>
      <w:r>
        <w:t>։</w:t>
      </w:r>
    </w:p>
    <w:p>
      <w:r>
        <w:t>Այսպիսով, ՀՀ աշխատանքային իրավունքը ներկայացնում է իրավական նորմերի մի համակարգ, որի նպատակն է հավասարակշռել գործատուի և աշխատողի շահերը, պաշտպանել աշխատողի՝ որպես ավելի խոցելի կողմի իրավունքները և ստեղծել աշխատանքի արդարացի պայմաններ։ Թեև օրենսդրական դաշտը կառուցված է հստակ սկզբունքների և աղբյուրների հիերարխիայի վրա, իրավակիրառ պրակտիկան և օրենսդրական որոշ բացեր, ինչպես հարկադիր աշխատանքի սահմանման օրինակն է ցույց տալիս, վկայում են, որ համակարգը դեռևս կատարելագործման և միջազգային լավագույն չափանիշներին շարունակական համապատասխանեցման կարիք ունի։</w:t>
      </w:r>
    </w:p>
    <w:p>
      <w:pPr>
        <w:pStyle w:val="Heading2"/>
      </w:pPr>
      <w:bookmarkStart w:id="104" w:name="_Toc_heading_4"/>
      <w:r>
        <w:t>1.2. ՀՀ աշխատանքային օրենսդրության զարգացման պատմական ակնարկ</w:t>
      </w:r>
      <w:bookmarkEnd w:id="104"/>
    </w:p>
    <w:p>
      <w:r>
        <w:t>Հայաստանի Հանրապետության ժամանակակից աշխատանքային օրենսդրությունը մի քանի տասնամյակների զարգացման արդյունք է, որի ընթացքում տեղի է ունեցել անցում խորհրդային պլանային տնտեսությանը բնորոշ կարգավորումներից դեպի շուկայական հարաբերություններին համապատասխանող իրավական դաշտ։ Այս զարգացումը կարելի է բաժանել մի քանի հիմնական փուլերի՝ սկսած խորհրդային ժառանգությունից մինչև անկախության շրջանի բարեփոխումները, որոնք շարունակվում են մինչ օրս։</w:t>
      </w:r>
    </w:p>
    <w:p>
      <w:r>
        <w:t>Խորհրդային շրջանում գործող աշխատանքային օրենսգիրքը տեսականորեն ուղղված էր աշխատողի իրավունքների լայնածավալ պաշտպանությանը, ինչը բխում էր «աշխատավորի դրախտի» գաղափարախոսությունից</w:t>
      </w:r>
      <w:r>
        <w:rPr>
          <w:rStyle w:val="FootnoteReference"/>
          <w:vertAlign w:val="superscript"/>
          <w:rFonts w:ascii="Aptos" w:hAnsi="Aptos" w:cs="Aptos"/>
        </w:rPr>
        <w:footnoteReference w:id="22"/>
      </w:r>
      <w:r>
        <w:t>։ Սակայն անկախացումից հետո՝ 1990-ական թվականներին, իրավիճակը կտրուկ փոխվեց։ Թեև խորհրդային օրենսգիրքը դեռևս ձևականորեն ուժի մեջ էր, գործնականում աշխատանքային հարաբերությունները հիմնականում չէին կարգավորվում։ Այդ ժամանակաշրջանը բնութագրվում էր ընդհանուր անտարբերության (general laissez-faire) միջավայրով, որտեղ աշխատանքային օրենսդրությունը հետևողականորեն չէր պահպանվում</w:t>
      </w:r>
      <w:r>
        <w:rPr>
          <w:rStyle w:val="FootnoteReference"/>
          <w:vertAlign w:val="superscript"/>
          <w:rFonts w:ascii="Aptos" w:hAnsi="Aptos" w:cs="Aptos"/>
        </w:rPr>
        <w:footnoteReference w:id="23"/>
      </w:r>
      <w:r>
        <w:t>։ Պետական վերահսկողական մարմինները, ինչպիսիք է աշխատանքի տեսչությունը, նոր էին ձևավորվում կամ դեռևս թույլ էին, և առաջնահերթությունը տրվում էր անցումային շրջանի այլ խնդիրներին։ Այս պայմաններում գործատուները գործում էին գրեթե առանց իրավական սահմանափակումների։</w:t>
      </w:r>
    </w:p>
    <w:p>
      <w:r>
        <w:t>Իրավիճակը սկսեց փոխվել 2004 թվականի նոյեմբերի 9-ին ՀՀ Աշխատանքային օրենսգրքի ընդունմամբ, որն ուժի մեջ մտավ 2005 թվականի հունիսի 21-ին</w:t>
      </w:r>
      <w:r>
        <w:rPr>
          <w:rStyle w:val="FootnoteReference"/>
          <w:vertAlign w:val="superscript"/>
          <w:rFonts w:ascii="Aptos" w:hAnsi="Aptos" w:cs="Aptos"/>
        </w:rPr>
        <w:footnoteReference w:id="24"/>
      </w:r>
      <w:r>
        <w:t>։ Նոր օրենսգրքի հիմնական նպատակն էր աշխատանքային հարաբերությունները համապատասխանեցնել շուկայական տնտեսության պահանջներին և միջազգային իրավական չափանիշներին</w:t>
      </w:r>
      <w:r>
        <w:rPr>
          <w:rStyle w:val="FootnoteReference"/>
          <w:vertAlign w:val="superscript"/>
          <w:rFonts w:ascii="Aptos" w:hAnsi="Aptos" w:cs="Aptos"/>
        </w:rPr>
        <w:footnoteReference w:id="25"/>
      </w:r>
      <w:r>
        <w:t>։ Սակայն օրենսգրքի ընդունումը պարադոքսալ ազդեցություն ունեցավ։ Չնայած այն ընկալվում էր որպես ավելի լիբերալ, գործատուներն այն ավելի խիստ համարեցին, քան նախկինում գործող, բայց չկիրառվող խորհրդային համակարգը։ Պատճառն այն էր, որ նոր օրենսգիրքն ու դրա հիման վրա ստեղծված ինստիտուտները (օրինակ՝ 2005 թվականին ձևավորված Աշխատանքի պետական տեսչությունը) սկսեցին իրականացնել վերահսկողություն, ինչը նախկինում բացակայում էր</w:t>
      </w:r>
      <w:r>
        <w:rPr>
          <w:rStyle w:val="FootnoteReference"/>
          <w:vertAlign w:val="superscript"/>
          <w:rFonts w:ascii="Aptos" w:hAnsi="Aptos" w:cs="Aptos"/>
        </w:rPr>
        <w:footnoteReference w:id="26"/>
      </w:r>
      <w:r>
        <w:t>։ Համաշխարհային բանկի «Doing Business» զեկույցների տվյալները ցույց են տալիս, որ 2004 թվականի օրենսգիրքը աշխատանքից ազատման ընթացակարգերին որոշակի ճկունություն հաղորդեց։ Սակայն միևնույն ժամանակ վատթարացավ աշխատանքի ընդունման դժվարության ցուցանիշը, ինչը հիմնականում պայմանավորված էր մշտական բնույթի աշխատանքների համար ժամկետային պայմանագրերի կնքման արգելքով</w:t>
      </w:r>
      <w:r>
        <w:rPr>
          <w:rStyle w:val="FootnoteReference"/>
          <w:vertAlign w:val="superscript"/>
          <w:rFonts w:ascii="Aptos" w:hAnsi="Aptos" w:cs="Aptos"/>
        </w:rPr>
        <w:footnoteReference w:id="27"/>
      </w:r>
      <w:r>
        <w:t>։ Սա հանգեցրեց նրան, որ աշխատանքային կարգավորումները որպես խոչընդոտ դիտարկող ընկերությունների թիվը 2002 թվականի 0,93 %-ից 2009 թվականին հասավ 7,59 %-ի</w:t>
      </w:r>
      <w:r>
        <w:rPr>
          <w:rStyle w:val="FootnoteReference"/>
          <w:vertAlign w:val="superscript"/>
          <w:rFonts w:ascii="Aptos" w:hAnsi="Aptos" w:cs="Aptos"/>
        </w:rPr>
        <w:footnoteReference w:id="28"/>
      </w:r>
      <w:r>
        <w:t>։</w:t>
      </w:r>
    </w:p>
    <w:p>
      <w:r>
        <w:t>Շատ չանցած՝ իրավակիրառ պրակտիկայում ի հայտ եկան նոր օրենսգրքի խնդիրները։ Դրանք հիմնականում երկու տեսակի էին՝ օրենսգրքի ներքին հակասություններն ու ոչ հստակ ձևակերպումները և որոշ հարաբերությունների կարգավորման մեխանիզմների բացակայությունը</w:t>
      </w:r>
      <w:r>
        <w:rPr>
          <w:rStyle w:val="FootnoteReference"/>
          <w:vertAlign w:val="superscript"/>
          <w:rFonts w:ascii="Aptos" w:hAnsi="Aptos" w:cs="Aptos"/>
        </w:rPr>
        <w:footnoteReference w:id="29"/>
      </w:r>
      <w:r>
        <w:t>։ Այս խնդիրները լուծելու նպատակով 2010 թվականին օրենսգրքում կատարվեցին մի շարք էական փոփոխություններ։ Այդ փոփոխությունները նպատակ ունեին ոչ միայն լրացնել օրենսդրական բացերը, այլև որոշակիորեն թեթևացնել գործատուի բեռը։ Մասնավորապես՝</w:t>
      </w:r>
    </w:p>
    <w:p>
      <w:r>
        <w:t>- Ներդրվեց բանավոր աշխատանքային պայմանագրի հնարավորությունը՝ նվազագույն պայմաններ պարունակող հարաբերությունների դեպքում՝ փաստաթղթաշրջանառությունը պարզեցնելու համար</w:t>
      </w:r>
      <w:r>
        <w:rPr>
          <w:rStyle w:val="FootnoteReference"/>
          <w:vertAlign w:val="superscript"/>
          <w:rFonts w:ascii="Aptos" w:hAnsi="Aptos" w:cs="Aptos"/>
        </w:rPr>
        <w:footnoteReference w:id="30"/>
      </w:r>
      <w:r>
        <w:t>։</w:t>
      </w:r>
    </w:p>
    <w:p>
      <w:r>
        <w:t>- Նվազեցվեցին արտաժամյա և գիշերային աշխատանքի համար պարտադիր հավելումների չափերը։ Եթե նախկինում դրանք կազմում էին ժամային դրույքաչափի «մեկ ու կես անգամից ոչ պակաս», ապա փոփոխությամբ սահմանվեց 50 % հավելում արտաժամյա և 30 %՝ գիշերային աշխատանքի համար</w:t>
      </w:r>
      <w:r>
        <w:rPr>
          <w:rStyle w:val="FootnoteReference"/>
          <w:vertAlign w:val="superscript"/>
          <w:rFonts w:ascii="Aptos" w:hAnsi="Aptos" w:cs="Aptos"/>
        </w:rPr>
        <w:footnoteReference w:id="31"/>
      </w:r>
      <w:r>
        <w:t>։</w:t>
      </w:r>
    </w:p>
    <w:p>
      <w:r>
        <w:t>- Հանվեց ժամկետային պայմանագրերի կնքման ժամկետների սահմանափակումը</w:t>
      </w:r>
      <w:r>
        <w:t>,</w:t>
      </w:r>
      <w:r>
        <w:rPr>
          <w:rStyle w:val="FootnoteReference"/>
          <w:vertAlign w:val="superscript"/>
          <w:rFonts w:ascii="Aptos" w:hAnsi="Aptos" w:cs="Aptos"/>
        </w:rPr>
        <w:footnoteReference w:id="32"/>
      </w:r>
      <w:r>
        <w:t xml:space="preserve"> ինչը, թեև նպատակ ուներ ավելի մեծ ճկունություն տալ, հետագայում քննադատության առարկա դարձավ։</w:t>
      </w:r>
    </w:p>
    <w:p>
      <w:r>
        <w:t>- Գործատուին հնարավորություն տրվեց լուծել պայմանագիրը, եթե աշխատողի մասնագիտական ունակությունները չեն համապատասխանում զբաղեցրած պաշտոնին</w:t>
      </w:r>
      <w:r>
        <w:rPr>
          <w:rStyle w:val="FootnoteReference"/>
          <w:vertAlign w:val="superscript"/>
          <w:rFonts w:ascii="Aptos" w:hAnsi="Aptos" w:cs="Aptos"/>
        </w:rPr>
        <w:footnoteReference w:id="33"/>
      </w:r>
      <w:r>
        <w:t>։</w:t>
      </w:r>
    </w:p>
    <w:p>
      <w:r>
        <w:t>- Արձակման նպաստի չափը կապվեց տվյալ գործատուի մոտ աշխատողի անընդմեջ ստաժի հետ. որքան երկար էր ստաժը, այնքան մեծ էր նպաստը</w:t>
      </w:r>
      <w:r>
        <w:rPr>
          <w:rStyle w:val="FootnoteReference"/>
          <w:vertAlign w:val="superscript"/>
          <w:rFonts w:ascii="Aptos" w:hAnsi="Aptos" w:cs="Aptos"/>
        </w:rPr>
        <w:footnoteReference w:id="34"/>
      </w:r>
      <w:r>
        <w:t>։</w:t>
      </w:r>
    </w:p>
    <w:p>
      <w:r>
        <w:t>Չնայած այս փոփոխություններին՝ աշխատանքային օրենսդրության բարեփոխումների գործընթացը չավարտվեց։ Հաջորդող տարիներին այն շարունակվեց՝ մեծապես պայմանավորված ինչպես ներքին կարիքներով, այնպես էլ Հայաստանի ստանձնած միջազգային պարտավորություններով։ Հայաստանը վավերացրել է Աշխատանքի միջազգային կազմակերպության (ԱՄԿ) 29 կոնվենցիա, այդ թվում՝ բոլոր ութ հիմնարար կոնվենցիաները</w:t>
      </w:r>
      <w:r>
        <w:rPr>
          <w:rStyle w:val="FootnoteReference"/>
          <w:vertAlign w:val="superscript"/>
          <w:rFonts w:ascii="Aptos" w:hAnsi="Aptos" w:cs="Aptos"/>
        </w:rPr>
        <w:footnoteReference w:id="35"/>
      </w:r>
      <w:r>
        <w:t>։ ԱՄԿ Փորձագետների կոմիտեի (CEACR) դիտարկումները և Եվրոպական միության հետ համագործակցությունը դարձել են բարեփոխումների կարևոր խթան։</w:t>
      </w:r>
    </w:p>
    <w:p>
      <w:r>
        <w:t>Օրինակ, երկար ժամանակ օրենսդրության լուրջ բացթողում էր «հարկադիր աշխատանք» եզրույթի սահմանման բացակայությունը՝ չնայած դրա արգելքն արդեն իսկ սահմանված էր Սահմանադրությամբ և Աշխատանքային օրենսգրքով</w:t>
      </w:r>
      <w:r>
        <w:rPr>
          <w:rStyle w:val="FootnoteReference"/>
          <w:vertAlign w:val="superscript"/>
          <w:rFonts w:ascii="Aptos" w:hAnsi="Aptos" w:cs="Aptos"/>
        </w:rPr>
        <w:footnoteReference w:id="36"/>
      </w:r>
      <w:r>
        <w:t>։ Միայն 2022 թվականի հոկտեմբերին օրենսգրքում համապատասխան սահմանում ներմուծվեց</w:t>
      </w:r>
      <w:r>
        <w:rPr>
          <w:rStyle w:val="FootnoteReference"/>
          <w:vertAlign w:val="superscript"/>
          <w:rFonts w:ascii="Aptos" w:hAnsi="Aptos" w:cs="Aptos"/>
        </w:rPr>
        <w:footnoteReference w:id="37"/>
      </w:r>
      <w:r>
        <w:t>։ Սակայն նույնիսկ առաջարկվող սահմանումը քննադատվեց որպես ԱՄԿ կոնվենցիայի չափանիշներից ավելի նեղ մեկնաբանություն</w:t>
      </w:r>
      <w:r>
        <w:rPr>
          <w:rStyle w:val="FootnoteReference"/>
          <w:vertAlign w:val="superscript"/>
          <w:rFonts w:ascii="Aptos" w:hAnsi="Aptos" w:cs="Aptos"/>
        </w:rPr>
        <w:footnoteReference w:id="38"/>
      </w:r>
      <w:r>
        <w:t>։</w:t>
      </w:r>
    </w:p>
    <w:p>
      <w:r>
        <w:t>Մեկ այլ հարատև խնդիր է որոշակի ժամկետով կնքվող աշխատանքային պայմանագրերի չարաշահումը։ Իրավապաշտպանները նշում են, որ գործատուները հաճախ օգտագործում են ժամկետային պայմանագրերը մշտական բնույթի աշխատանքների համար՝ խուսափելու անորոշ ժամկետով պայմանագրով նախատեսված երաշխիքներից</w:t>
      </w:r>
      <w:r>
        <w:rPr>
          <w:rStyle w:val="FootnoteReference"/>
          <w:vertAlign w:val="superscript"/>
          <w:rFonts w:ascii="Aptos" w:hAnsi="Aptos" w:cs="Aptos"/>
        </w:rPr>
        <w:footnoteReference w:id="39"/>
      </w:r>
      <w:r>
        <w:t>։ Թեև Աշխատանքային օրենսգրքի 95-րդ հոդվածը փորձում է սահմանափակել այս պրակտիկան, դրա ձևակերպումները բավարար արդյունավետ չեն համարվում։ Առաջարկվում է օրենսդրորեն սահմանել այն հիմքերի սպառիչ ցանկը, որոնց դեպքում միայն թույլատրվում է որոշակի ժամկետով պայմանագրի կնքումը</w:t>
      </w:r>
      <w:r>
        <w:rPr>
          <w:rStyle w:val="FootnoteReference"/>
          <w:vertAlign w:val="superscript"/>
          <w:rFonts w:ascii="Aptos" w:hAnsi="Aptos" w:cs="Aptos"/>
        </w:rPr>
        <w:footnoteReference w:id="40"/>
      </w:r>
      <w:r>
        <w:t>։</w:t>
      </w:r>
    </w:p>
    <w:p>
      <w:r>
        <w:t>Վերջին տարիների զարգացումները ցույց են տալիս, որ բարեփոխումները շարունակվում են։ 2023 թվականի մայիսին ընդունված փոփոխությունները, ի թիվս այլնի, իջեցրել են գործադուլ հայտարարելու համար անհրաժեշտ քվորումը և ուժեղացրել երեխաների աշխատանքի հետ կապված պաշտպանական մեխանիզմները</w:t>
      </w:r>
      <w:r>
        <w:rPr>
          <w:rStyle w:val="FootnoteReference"/>
          <w:vertAlign w:val="superscript"/>
          <w:rFonts w:ascii="Aptos" w:hAnsi="Aptos" w:cs="Aptos"/>
        </w:rPr>
        <w:footnoteReference w:id="41"/>
      </w:r>
      <w:r>
        <w:t>։ Զուգահեռաբար ընթանում են ինստիտուցիոնալ կարողությունների ամրապնդման աշխատանքներ։ Առողջապահության և աշխատանքի տեսչական մարմնի (ԱԱՏՄ) լիազորություններն ընդլայնվել են՝ վերահսկողություն իրականացնելու աշխատանքային ողջ օրենսդրության նկատմամբ, և ավելացվել է հաստիքների թիվը</w:t>
      </w:r>
      <w:r>
        <w:rPr>
          <w:rStyle w:val="FootnoteReference"/>
          <w:vertAlign w:val="superscript"/>
          <w:rFonts w:ascii="Aptos" w:hAnsi="Aptos" w:cs="Aptos"/>
        </w:rPr>
        <w:footnoteReference w:id="42"/>
      </w:r>
      <w:r>
        <w:t>։</w:t>
      </w:r>
    </w:p>
    <w:p>
      <w:r>
        <w:t>Այսպիսով, Հայաստանի աշխատանքային օրենսդրության զարգացման պատմությունը ցույց է տալիս անցում ձևական, բայց չկիրառվող խորհրդային նորմերից դեպի շուկայական տնտեսությանը միտված օրենսդրության, որն ի սկզբանե, սակայն, բազմաթիվ բացեր ուներ։ Հետագա զարգացումները շարունակական գործընթաց են եղել՝ ուղղված ինչպես պրակտիկայից բխող խնդիրների լուծմանը, այնպես էլ միջազգային չափանիշներին, մասնավորապես՝ ԱՄԿ կոնվենցիաներին համապատասխանեցմանը։ Այսօր էլ օրենսդրությունը գտնվում է դինամիկ փոփոխությունների փուլում՝ փորձելով հավասարակշռել գործատուների համար ճկունության ապահովման և աշխատողների իրավունքների արդյունավետ պաշտպանության միջև։</w:t>
      </w:r>
    </w:p>
    <w:p>
      <w:r>
        <w:br w:type="page"/>
      </w:r>
    </w:p>
    <w:p>
      <w:pPr>
        <w:pStyle w:val="Heading1"/>
      </w:pPr>
      <w:bookmarkStart w:id="105" w:name="_Toc_heading_5"/>
      <w:r>
        <w:t>Գլուխ 2. Աշխատանքային հարաբերությունների կարգավորման առանձնահատկությունները ՀՀ-ում</w:t>
      </w:r>
      <w:bookmarkEnd w:id="105"/>
    </w:p>
    <w:p>
      <w:pPr>
        <w:pStyle w:val="Heading2"/>
      </w:pPr>
      <w:bookmarkStart w:id="106" w:name="_Toc_heading_6"/>
      <w:r>
        <w:t>2.1. Աշխատանքային պայմանագիր. կնքման, փոփոխման և լուծման կարգը</w:t>
      </w:r>
      <w:bookmarkEnd w:id="106"/>
    </w:p>
    <w:p>
      <w:r>
        <w:t>Ըստ այդ համաձայնության՝ աշխատողը պարտավորվում է կատարել որոշակի մասնագիտությամբ կամ որակավորմամբ աշխատանք՝ ենթարկվելով ներքին կարգապահական կանոններին, իսկ գործատուն պարտավորվում է ապահովել պայմանագրով նախատեսված աշխատանքը, վճարել համապատասխան աշխատավարձ և երաշխավորել օրենսդրությամբ սահմանված աշխատանքային պայմաններ</w:t>
      </w:r>
      <w:r>
        <w:rPr>
          <w:rStyle w:val="FootnoteReference"/>
          <w:vertAlign w:val="superscript"/>
          <w:rFonts w:ascii="Aptos" w:hAnsi="Aptos" w:cs="Aptos"/>
        </w:rPr>
        <w:footnoteReference w:id="43"/>
      </w:r>
      <w:r>
        <w:t>։ ՀՀ աշխատանքային օրենսդրությունը մանրամասն կարգավորում է պայմանագրի կնքման, դրա պայմանների փոփոխման և լուծման գործընթացները՝ նպատակ ունենալով հավասարակշռել կողմերի իրավունքներն ու պարտականությունները։</w:t>
      </w:r>
    </w:p>
    <w:p>
      <w:r>
        <w:t>Օրենքը պարտադիր պահանջ է սահմանում, որ պայմանագիրը պետք է կնքվի գրավոր՝ մեկ փաստաթուղթ կազմելու միջոցով</w:t>
      </w:r>
      <w:r>
        <w:rPr>
          <w:rStyle w:val="FootnoteReference"/>
          <w:vertAlign w:val="superscript"/>
          <w:rFonts w:ascii="Aptos" w:hAnsi="Aptos" w:cs="Aptos"/>
        </w:rPr>
        <w:footnoteReference w:id="44"/>
      </w:r>
      <w:r>
        <w:t>։ Գործատուն նաև պարտավոր է պայմանագիրը գրանցել աշխատանքային պայմանագրերի գրանցամատյանում</w:t>
      </w:r>
      <w:r>
        <w:rPr>
          <w:rStyle w:val="FootnoteReference"/>
          <w:vertAlign w:val="superscript"/>
          <w:rFonts w:ascii="Aptos" w:hAnsi="Aptos" w:cs="Aptos"/>
        </w:rPr>
        <w:footnoteReference w:id="45"/>
      </w:r>
      <w:r>
        <w:t>։ Հետագա օրենսդրական փոփոխություններով թույլատրվել է նաև պայմանագրի կնքումը կողմերի էլեկտրոնային ստորագրությամբ</w:t>
      </w:r>
      <w:r>
        <w:rPr>
          <w:rStyle w:val="FootnoteReference"/>
          <w:vertAlign w:val="superscript"/>
          <w:rFonts w:ascii="Aptos" w:hAnsi="Aptos" w:cs="Aptos"/>
        </w:rPr>
        <w:footnoteReference w:id="46"/>
      </w:r>
      <w:r>
        <w:t>։ Պայմանագրի պատշաճ կազմման և ձևակերպման պատասխանատվությունը դրված է գործատուի վրա</w:t>
      </w:r>
      <w:r>
        <w:rPr>
          <w:rStyle w:val="FootnoteReference"/>
          <w:vertAlign w:val="superscript"/>
          <w:rFonts w:ascii="Aptos" w:hAnsi="Aptos" w:cs="Aptos"/>
        </w:rPr>
        <w:footnoteReference w:id="47"/>
      </w:r>
      <w:r>
        <w:t>։</w:t>
      </w:r>
    </w:p>
    <w:p>
      <w:r>
        <w:t>Դրանց թվում են՝ աշխատանքի վայրը, աշխատանքի սկիզբը (տարի, ամիս, ամսաթիվ), պաշտոնի անվանումը, կողմերի իրավունքներն ու պարտականությունները, աշխատավարձի չափը և պայմանները, ինչպես նաև պայմանագրի գործողության ժամկետը (Republic of Armenia, 2004, էջ 30–31)։ Կողմերը կարող են պայմանագրում ներառել նաև այլ՝ լրացուցիչ պայմաններ, որոնք չեն հակասում օրենսդրությանը</w:t>
      </w:r>
      <w:r>
        <w:rPr>
          <w:rStyle w:val="FootnoteReference"/>
          <w:vertAlign w:val="superscript"/>
          <w:rFonts w:ascii="Aptos" w:hAnsi="Aptos" w:cs="Aptos"/>
        </w:rPr>
        <w:footnoteReference w:id="48"/>
      </w:r>
      <w:r>
        <w:t>։</w:t>
      </w:r>
    </w:p>
    <w:p>
      <w:r>
        <w:t>Աշխատանքի ընդունվելիս գործատուն իրավունք ունի աշխատողից պահանջելու օրենքով սահմանված փաստաթղթերի ցանկ, որն ընդգրկում է անձը հաստատող փաստաթուղթ, սոցիալական ապահովության քարտ կամ դրա բացակայության մասին տեղեկանք, կրթությունը կամ որակավորումը հաստատող փաստաթուղթ (եթե աշխատանքի բնույթը դա է պահանջում), առողջական վիճակի մասին տեղեկանք (որոշ աշխատանքների համար) և 14-16 տարեկան անձանց դեպքում՝ ծնողի գրավոր համաձայնությունը</w:t>
      </w:r>
      <w:r>
        <w:rPr>
          <w:rStyle w:val="FootnoteReference"/>
          <w:vertAlign w:val="superscript"/>
          <w:rFonts w:ascii="Aptos" w:hAnsi="Aptos" w:cs="Aptos"/>
        </w:rPr>
        <w:footnoteReference w:id="49"/>
      </w:r>
      <w:r>
        <w:t>։ Օրենքն ուղղակիորեն արգելում է գործատուին պահանջել այնպիսի փաստաթղթեր, որոնք նախատեսված չեն օրենսդրությամբ</w:t>
      </w:r>
      <w:r>
        <w:rPr>
          <w:rStyle w:val="FootnoteReference"/>
          <w:vertAlign w:val="superscript"/>
          <w:rFonts w:ascii="Aptos" w:hAnsi="Aptos" w:cs="Aptos"/>
        </w:rPr>
        <w:footnoteReference w:id="50"/>
      </w:r>
      <w:r>
        <w:t>։ Նախկինում աշխատանքային գրքույկը համարվում էր աշխատանքային գործունեության մասին հիմնական փաստաթուղթ</w:t>
      </w:r>
      <w:r>
        <w:t>,</w:t>
      </w:r>
      <w:r>
        <w:rPr>
          <w:rStyle w:val="FootnoteReference"/>
          <w:vertAlign w:val="superscript"/>
          <w:rFonts w:ascii="Aptos" w:hAnsi="Aptos" w:cs="Aptos"/>
        </w:rPr>
        <w:footnoteReference w:id="51"/>
      </w:r>
      <w:r>
        <w:t xml:space="preserve"> սակայն 2015 թվականի փոփոխություններով Աշխատանքային օրենսգրքի 90-րդ հոդվածը, որը կարգավորում էր աշխատանքային գրքույկի հետ կապված հարցերը, ուժը կորցրած է ճանաչվել</w:t>
      </w:r>
      <w:r>
        <w:rPr>
          <w:rStyle w:val="FootnoteReference"/>
          <w:vertAlign w:val="superscript"/>
          <w:rFonts w:ascii="Aptos" w:hAnsi="Aptos" w:cs="Aptos"/>
        </w:rPr>
        <w:footnoteReference w:id="52"/>
      </w:r>
      <w:r>
        <w:t>։</w:t>
      </w:r>
    </w:p>
    <w:p>
      <w:r>
        <w:t>Կողմերի համաձայնությամբ կարող է սահմանվել փորձաշրջան, որի նպատակն է ստուգել աշխատողի համապատասխանությունը կատարվելիք աշխատանքին։ Փորձաշրջանի տևողությունը չի կարող երեք ամսից ավելի լինել՝ բացառությամբ օրենքով սահմանված որոշ դեպքերի, երբ այն կարող է հասնել մինչև վեց ամսի</w:t>
      </w:r>
      <w:r>
        <w:rPr>
          <w:rStyle w:val="FootnoteReference"/>
          <w:vertAlign w:val="superscript"/>
          <w:rFonts w:ascii="Aptos" w:hAnsi="Aptos" w:cs="Aptos"/>
        </w:rPr>
        <w:footnoteReference w:id="53"/>
      </w:r>
      <w:r>
        <w:t>։ Օրենքը միաժամանակ սահմանում է, որ փորձաշրջան չի կարող կիրառվել 18 տարին չլրացած անձանց, ընտրովի պաշտոն զբաղեցնողների և այլ աշխատանքի փոխադրվողների նկատմամբ</w:t>
      </w:r>
      <w:r>
        <w:rPr>
          <w:rStyle w:val="FootnoteReference"/>
          <w:vertAlign w:val="superscript"/>
          <w:rFonts w:ascii="Aptos" w:hAnsi="Aptos" w:cs="Aptos"/>
        </w:rPr>
        <w:footnoteReference w:id="54"/>
      </w:r>
      <w:r>
        <w:t>։ Եթե փորձաշրջանի արդյունքները գործատուին չեն բավարարում, նա կարող է աշխատողին ազատել աշխատանքից՝ այդ մասին երեք օր առաջ գրավոր ծանուցելով</w:t>
      </w:r>
      <w:r>
        <w:rPr>
          <w:rStyle w:val="FootnoteReference"/>
          <w:vertAlign w:val="superscript"/>
          <w:rFonts w:ascii="Aptos" w:hAnsi="Aptos" w:cs="Aptos"/>
        </w:rPr>
        <w:footnoteReference w:id="55"/>
      </w:r>
      <w:r>
        <w:t>։</w:t>
      </w:r>
    </w:p>
    <w:p>
      <w:r>
        <w:t>ՀՀ Աշխատանքային օրենսգրքի 105-րդ հոդվածը գործատուին իրավունք է վերապահում փոփոխել պայմանագրի պայմանները՝ արտադրության, տնտեսական, տեխնոլոգիական և աշխատանքի կազմակերպման պայմանների փոփոխման դեպքում</w:t>
      </w:r>
      <w:r>
        <w:rPr>
          <w:rStyle w:val="FootnoteReference"/>
          <w:vertAlign w:val="superscript"/>
          <w:rFonts w:ascii="Aptos" w:hAnsi="Aptos" w:cs="Aptos"/>
        </w:rPr>
        <w:footnoteReference w:id="56"/>
      </w:r>
      <w:r>
        <w:t>։ Այնուամենայնիվ, այս իրավունքը բացարձակ չէ։</w:t>
      </w:r>
    </w:p>
    <w:p>
      <w:r>
        <w:t>Աշխատանքի էական պայմանների՝ մասնավորապես աշխատանքի վայրի, պաշտոնի անվանման կամ աշխատանքային գործառույթների փոփոխությունը հնարավոր է միայն աշխատողի նախնական գրավոր համաձայնության դեպքում</w:t>
      </w:r>
      <w:r>
        <w:rPr>
          <w:rStyle w:val="FootnoteReference"/>
          <w:vertAlign w:val="superscript"/>
          <w:rFonts w:ascii="Aptos" w:hAnsi="Aptos" w:cs="Aptos"/>
        </w:rPr>
        <w:footnoteReference w:id="57"/>
      </w:r>
      <w:r>
        <w:t>։ Եթե աշխատողը համաձայն չէ աշխատանքը փոփոխված պայմաններով շարունակելուն, ապա նրա հետ աշխատանքային պայմանագիրը կարող է լուծվել օրենսգրքի 113-րդ հոդվածով սահմանված կարգով</w:t>
      </w:r>
      <w:r>
        <w:rPr>
          <w:rStyle w:val="FootnoteReference"/>
          <w:vertAlign w:val="superscript"/>
          <w:rFonts w:ascii="Aptos" w:hAnsi="Aptos" w:cs="Aptos"/>
        </w:rPr>
        <w:footnoteReference w:id="58"/>
      </w:r>
      <w:r>
        <w:t>։</w:t>
      </w:r>
    </w:p>
    <w:p>
      <w:r>
        <w:t>Օրենսգրքի 106-րդ հոդվածը թույլ է տալիս գործատուին մինչև մեկ ամիս ժամկետով աշխատողին փոխադրել այլ աշխատանքի՝ առանց նրա համաձայնության, եթե դա անհրաժեշտ է տարերային աղետների, վթարների, համաճարակների և այլ արտակարգ իրավիճակների կանխարգելման կամ դրանց հետևանքների վերացման համար</w:t>
      </w:r>
      <w:r>
        <w:rPr>
          <w:rStyle w:val="FootnoteReference"/>
          <w:vertAlign w:val="superscript"/>
          <w:rFonts w:ascii="Aptos" w:hAnsi="Aptos" w:cs="Aptos"/>
        </w:rPr>
        <w:footnoteReference w:id="59"/>
      </w:r>
      <w:r>
        <w:t>։ Այս դեպքում, սակայն, արգելվում է աշխատողին փոխադրել այնպիսի աշխատանքի, որը հակացուցված է նրա առողջական վիճակին։</w:t>
      </w:r>
    </w:p>
    <w:p>
      <w:r>
        <w:t>Օրենսգիրքը սահմանում է պայմանագրի լուծման մի քանի հիմքեր՝ կողմերի համաձայնությամբ, պայմանագրի ժամկետը լրանալու պատճառով, աշխատողի կամ գործատուի նախաձեռնությամբ</w:t>
      </w:r>
      <w:r>
        <w:rPr>
          <w:rStyle w:val="FootnoteReference"/>
          <w:vertAlign w:val="superscript"/>
          <w:rFonts w:ascii="Aptos" w:hAnsi="Aptos" w:cs="Aptos"/>
        </w:rPr>
        <w:footnoteReference w:id="60"/>
      </w:r>
      <w:r>
        <w:t>։</w:t>
      </w:r>
    </w:p>
    <w:p>
      <w:r>
        <w:t>ՀՀ Աշխատանքային օրենսգրքի 113-րդ հոդվածը թվարկում է այդպիսի հիմքերի սպառիչ ցանկը, որոնցից են՝ կազմակերպության լուծարումը, աշխատողների քանակի կամ հաստիքների կրճատումը, աշխատողի՝ զբաղեցրած պաշտոնին չհամապատասխանելը, աշխատանքային պարտականությունները պարբերաբար չկատարելը, վստահությունը կորցնելը, երկարատև անաշխատունակությունը, աշխատավայրում ոչ սթափ վիճակում գտնվելը, աշխատանքից ամբողջ օրով բացակայելը և կենսաթոշակային տարիքի հասնելը (ՀՀ Ազգային ժողով, 2004, էջ 32–33)։</w:t>
      </w:r>
    </w:p>
    <w:p>
      <w:r>
        <w:t>Մինչդեռ պաշտոնին չհամապատասխանելու կամ կենսաթոշակային տարիքի հասնելու հիմքով պայմանագիրը լուծելիս ծանուցման ժամկետը կախված է ստաժից և կարող է տատանվել 14-ից մինչև 60 օր</w:t>
      </w:r>
      <w:r>
        <w:rPr>
          <w:rStyle w:val="FootnoteReference"/>
          <w:vertAlign w:val="superscript"/>
          <w:rFonts w:ascii="Aptos" w:hAnsi="Aptos" w:cs="Aptos"/>
        </w:rPr>
        <w:footnoteReference w:id="61"/>
      </w:r>
      <w:r>
        <w:t>։</w:t>
      </w:r>
    </w:p>
    <w:p>
      <w:r>
        <w:t>Դրանք են, օրինակ, վստահությունը կորցնելը, աշխատավայրում ոչ սթափ վիճակում հայտնվելը կամ անհարգելի պատճառով աշխատանքի չներկայանալը</w:t>
      </w:r>
      <w:r>
        <w:rPr>
          <w:rStyle w:val="FootnoteReference"/>
          <w:vertAlign w:val="superscript"/>
          <w:rFonts w:ascii="Aptos" w:hAnsi="Aptos" w:cs="Aptos"/>
        </w:rPr>
        <w:footnoteReference w:id="62"/>
      </w:r>
      <w:r>
        <w:t>։ Սոցիալական իրավունքների եվրոպական կոմիտեն, մասնավորապես, գտել է, որ որոշ խախտումներ, ինչպես մեկ օր աշխատանքի չգալը, չեն կարող արդարացնել անհապաղ աշխատանքից ազատումը</w:t>
      </w:r>
      <w:r>
        <w:rPr>
          <w:rStyle w:val="FootnoteReference"/>
          <w:vertAlign w:val="superscript"/>
          <w:rFonts w:ascii="Aptos" w:hAnsi="Aptos" w:cs="Aptos"/>
        </w:rPr>
        <w:footnoteReference w:id="63"/>
      </w:r>
      <w:r>
        <w:t>։ «Վստահությունը կորցնելու» հիմքը նույնպես կարող է լայն մեկնաբանությունների տեղիք տալ՝ չնայած օրենսգրքի 122-րդ հոդվածով արված սահմանափակման փորձերին</w:t>
      </w:r>
      <w:r>
        <w:rPr>
          <w:rStyle w:val="FootnoteReference"/>
          <w:vertAlign w:val="superscript"/>
          <w:rFonts w:ascii="Aptos" w:hAnsi="Aptos" w:cs="Aptos"/>
        </w:rPr>
        <w:footnoteReference w:id="64"/>
      </w:r>
      <w:r>
        <w:t>։</w:t>
      </w:r>
    </w:p>
    <w:p>
      <w:r>
        <w:t>Հոդված 114-ն արգելում է աշխատանքային պայմանագրի լուծումը գործատուի նախաձեռնությամբ աշխատողի ժամանակավոր անաշխատունակության, արձակուրդում գտնվելու կամ գործադուլին մասնակցելու ժամանակահատվածում։ Հատուկ պաշտպանություն է տրամադրվում հղի կանանց և մինչև մեկ տարեկան երեխա խնամող անձանց</w:t>
      </w:r>
      <w:r>
        <w:rPr>
          <w:rStyle w:val="FootnoteReference"/>
          <w:vertAlign w:val="superscript"/>
          <w:rFonts w:ascii="Aptos" w:hAnsi="Aptos" w:cs="Aptos"/>
        </w:rPr>
        <w:footnoteReference w:id="65"/>
      </w:r>
      <w:r>
        <w:t>։ Բացի այդ, աշխատանքից ազատման օրինական պատճառ չեն կարող համարվել աշխատողի սեռը, ռասան, համոզմունքները, արհմիությանն անդամակցելը կամ տարիքը (բացառությամբ կենսաթոշակային տարիքի հասնելու դեպքի)</w:t>
      </w:r>
      <w:r>
        <w:rPr>
          <w:rStyle w:val="FootnoteReference"/>
          <w:vertAlign w:val="superscript"/>
          <w:rFonts w:ascii="Aptos" w:hAnsi="Aptos" w:cs="Aptos"/>
        </w:rPr>
        <w:footnoteReference w:id="66"/>
      </w:r>
      <w:r>
        <w:t>։</w:t>
      </w:r>
    </w:p>
    <w:p>
      <w:r>
        <w:t>Այսպիսով, ՀՀ աշխատանքային օրենսդրությունը մանրամասնորեն կարգավորում է աշխատանքային պայմանագրի կյանքի բոլոր փուլերը՝ սկսած կնքումից մինչև լուծում։ Թեև առկա են հստակ ընթացակարգեր և երաշխիքներ, որոշ դրույթներ, հատկապես պայմանագրի՝ գործատուի նախաձեռնությամբ լուծման հետ կապված, շարունակում են քննարկումների առարկա մնալ՝ հավասարակշռության և համաչափության տեսանկյունից։</w:t>
      </w:r>
    </w:p>
    <w:p>
      <w:pPr>
        <w:pStyle w:val="Heading2"/>
      </w:pPr>
      <w:bookmarkStart w:id="107" w:name="_Toc_heading_7"/>
      <w:r>
        <w:t>2.2. Աշխատաժամանակի և հանգստի ժամանակի իրավական կարգավորումը</w:t>
      </w:r>
      <w:bookmarkEnd w:id="107"/>
    </w:p>
    <w:p>
      <w:r>
        <w:t>Աշխատանքային հարաբերություններում աշխատողի իրավունքների պաշտպանության կարևորագույն երաշխիքներից է աշխատաժամանակի և հանգստի ժամանակի հստակ իրավական կարգավորումը։ Այս հասկացությունները սահմանում են այն ժամանակահատվածները, որոնց ընթացքում աշխատողը պարտավոր է կատարել իր աշխատանքային պարտականությունները, և այն ժամանակահատվածները, որոնք նախատեսված են նրա հանգստի և աշխատունակության վերականգնման համար։ Հայաստանի Հանրապետության աշխատանքային օրենսգիրքը (այսուհետ՝ ԱՕ) մանրամասն սահմանում է այս ոլորտի հիմնական նորմերը, սակայն, ինչպես ցույց է տալիս իրավակիրառ պրակտիկայի վերլուծությունը, առկա են որոշակի բացեր և չհստակեցված հարցեր։</w:t>
      </w:r>
    </w:p>
    <w:p>
      <w:r>
        <w:t>ԱՕ-ն աշխատաժամանակը սահմանում է որպես ցանկացած ժամանակահատված, որի ընթացքում աշխատողը պետք է կատարի իրեն հանձնարարված աշխատանքը, ինչպես նաև դրան հավասարեցված այլ ժամանակահատվածներ</w:t>
      </w:r>
      <w:r>
        <w:rPr>
          <w:rStyle w:val="FootnoteReference"/>
          <w:vertAlign w:val="superscript"/>
          <w:rFonts w:ascii="Aptos" w:hAnsi="Aptos" w:cs="Aptos"/>
        </w:rPr>
        <w:footnoteReference w:id="67"/>
      </w:r>
      <w:r>
        <w:t>։ Օրենսդրությամբ ամրագրված է աշխատաժամանակի նորմալ տևողությունը, որը չի կարող գերազանցել շաբաթական 40 ժամը</w:t>
      </w:r>
      <w:r>
        <w:rPr>
          <w:rStyle w:val="FootnoteReference"/>
          <w:vertAlign w:val="superscript"/>
          <w:rFonts w:ascii="Aptos" w:hAnsi="Aptos" w:cs="Aptos"/>
        </w:rPr>
        <w:footnoteReference w:id="68"/>
      </w:r>
      <w:r>
        <w:t>։ Ամենօրյա աշխատանքի տևողությունը, որպես կանոն, չպետք է գերազանցի 8 ժամը։ Աշխատանքային շաբաթը սահմանվում է հիմնականում հնգօրյա՝ երկու հանգստյան օրով, սակայն այն կազմակերպություններում, որտեղ արտադրության բնույթի կամ այլ պայմանների պատճառով դա հնարավոր չէ, կարող է սահմանվել վեցօրյա աշխատանքային շաբաթ՝ մեկ հանգստյան օրով</w:t>
      </w:r>
      <w:r>
        <w:rPr>
          <w:rStyle w:val="FootnoteReference"/>
          <w:vertAlign w:val="superscript"/>
          <w:rFonts w:ascii="Aptos" w:hAnsi="Aptos" w:cs="Aptos"/>
        </w:rPr>
        <w:footnoteReference w:id="69"/>
      </w:r>
      <w:r>
        <w:t>։</w:t>
      </w:r>
    </w:p>
    <w:p>
      <w:r>
        <w:t>Օրինակ՝ 14-ից 16 տարեկան անձանց համար սահմանվում է շաբաթական 24-ժամյա, իսկ 16-ից 18 տարեկանների համար՝ 36-ժամյա աշխատանքային շաբաթ</w:t>
      </w:r>
      <w:r>
        <w:rPr>
          <w:rStyle w:val="FootnoteReference"/>
          <w:vertAlign w:val="superscript"/>
          <w:rFonts w:ascii="Aptos" w:hAnsi="Aptos" w:cs="Aptos"/>
        </w:rPr>
        <w:footnoteReference w:id="70"/>
      </w:r>
      <w:r>
        <w:t>։ Կրճատ աշխատաժամանակ է սահմանվում նաև վնասակար պայմաններում, ինչպես նաև մտավոր և հուզական գերլարվածություն պահանջող աշխատանքներում ներգրավվածների համար</w:t>
      </w:r>
      <w:r>
        <w:rPr>
          <w:rStyle w:val="FootnoteReference"/>
          <w:vertAlign w:val="superscript"/>
          <w:rFonts w:ascii="Aptos" w:hAnsi="Aptos" w:cs="Aptos"/>
        </w:rPr>
        <w:footnoteReference w:id="71"/>
      </w:r>
      <w:r>
        <w:t>։ Բացի այդ, աշխատողի և գործատուի համաձայնությամբ կարող է սահմանվել ոչ լրիվ աշխատաժամանակ, որը կարող է լինել ոչ լրիվ աշխատանքային օր կամ շաբաթ։ Սա հատկապես կարևոր սոցիալական երաշխիք է հղի կանանց, մինչև մեկ տարեկան երեխա խնամողների, հաշմանդամություն ունեցող անձանց և առողջական խնդիրներով պայմանավորված՝ բժշկական եզրակացություն ունեցող աշխատողների համար</w:t>
      </w:r>
      <w:r>
        <w:rPr>
          <w:rStyle w:val="FootnoteReference"/>
          <w:vertAlign w:val="superscript"/>
          <w:rFonts w:ascii="Aptos" w:hAnsi="Aptos" w:cs="Aptos"/>
        </w:rPr>
        <w:footnoteReference w:id="72"/>
      </w:r>
      <w:r>
        <w:t>։ Կարևոր է ընդգծել, որ ոչ լրիվ աշխատաժամանակի պայմաններով աշխատանքը հիմք չէ որևէ սահմանափակում կիրառելու համար՝ լինի դա ամենամյա արձակուրդի տևողության, աշխատանքային ստաժի հաշվարկման, թե այլ աշխատանքային իրավունքների իրացման հարցում</w:t>
      </w:r>
      <w:r>
        <w:rPr>
          <w:rStyle w:val="FootnoteReference"/>
          <w:vertAlign w:val="superscript"/>
          <w:rFonts w:ascii="Aptos" w:hAnsi="Aptos" w:cs="Aptos"/>
        </w:rPr>
        <w:footnoteReference w:id="73"/>
      </w:r>
      <w:r>
        <w:t>։</w:t>
      </w:r>
    </w:p>
    <w:p>
      <w:r>
        <w:t>Այնուամենայնիվ, աշխատաժամանակի ռեժիմների հետ կապված կան մի շարք խնդրահարույց կարգավորումներ։ Օրինակ՝ առանձին կատեգորիաների աշխատողների համար (առողջապահություն, խնամքի հաստատություններ, էներգամատակարարում և այլն) օրենսգիրքը թույլ էր տալիս սահմանել մինչև 24-ժամյա աշխատանքային օր՝ պայմանով, որ շաբաթական տևողությունը չգերազանցի 48 ժամը, իսկ աշխատանքային օրերի միջև հանգիստը լինի առնվազն 24 ժամ</w:t>
      </w:r>
      <w:r>
        <w:rPr>
          <w:rStyle w:val="FootnoteReference"/>
          <w:vertAlign w:val="superscript"/>
          <w:rFonts w:ascii="Aptos" w:hAnsi="Aptos" w:cs="Aptos"/>
        </w:rPr>
        <w:footnoteReference w:id="74"/>
      </w:r>
      <w:r>
        <w:t>։ Միջազգային կառույցները քննադատել են այս դրույթը, և ինչպես նշում է Գյուրջյանը (2021), օրենսդրական փոփոխությունների նախագծով առաջարկվել է այդ սահմանաչափը 24-ից իջեցնել 12 ժամի՝ այն համապատասխանեցնելով միջազգային չափանիշներին (էջ 41)։</w:t>
      </w:r>
    </w:p>
    <w:p>
      <w:r>
        <w:t>Մեկ այլ խնդիր կապված է աշխատաժամանակի գումարային հաշվարկի հետ։ Այս ռեժիմը կիրառվում է այնտեղ, որտեղ հնարավոր չէ պահպանել աշխատաժամանակի ամենօրյա կամ ամենշաբաթյա տևողությունը (օրինակ՝ անընդհատ ռեժիմով աշխատող կազմակերպություններում)։ Սակայն, ինչպես մատնանշում է Գյուրջյանը (2021), օրենսգիրքը հստակ չի սահմանում «հերթափոխային աշխատանք» հասկացությունը և դրա պայմանները, ինչպես նաև օգտագործում է «չնորմավորված աշխատանքային օր» եզրույթը, որի սահմանումն ու կարգավորումներն ընդհանրապես բացակայում են օրենսգրքում (էջ 42–43)։ Այս իրավական բացերը գործնականում կարող են հանգեցնել աշխատողների իրավունքների խախտումների՝ կապված վարձատրության, հանգստի ժամանակի տրամադրման և այլ հարցերի հետ։</w:t>
      </w:r>
    </w:p>
    <w:p>
      <w:r>
        <w:t>Արտաժամյա աշխատանքը սահմանվում է որպես օրենքով սահմանված աշխատաժամանակից ավելի տևողությամբ աշխատանք։ Գործատուն կարող է աշխատողին ներգրավել արտաժամյա աշխատանքի միայն բացառիկ դեպքերում, որոնք սպառիչ կերպով թվարկված են ԱՕ 145-րդ հոդվածում։ Դրանք են, օրինակ, պետության պաշտպանությունը, տարերային աղետների հետևանքների վերացումը, սարքավորումների անհետաձգելի նորոգումը և այլ արտակարգ իրավիճակներ (EUROPEAN COMMISSION FOR DEMOCRACY THROUGH LAW (VENICE COMMISSION) 2016, էջ 64–65)։ Արտաժամյա աշխատանքի ներգրավումն արգելվում է մինչև 18 տարեկան անձանց, ուսանողներին՝ դասերի օրերին, և առողջության համար վնասակար պայմաններում աշխատողներին</w:t>
      </w:r>
      <w:r>
        <w:rPr>
          <w:rStyle w:val="FootnoteReference"/>
          <w:vertAlign w:val="superscript"/>
          <w:rFonts w:ascii="Aptos" w:hAnsi="Aptos" w:cs="Aptos"/>
        </w:rPr>
        <w:footnoteReference w:id="75"/>
      </w:r>
      <w:r>
        <w:t>։ Հղի կանանց և մինչև մեկ տարեկան երեխա խնամողներին կարելի է ներգրավել միայն իրենց համաձայնությամբ։</w:t>
      </w:r>
    </w:p>
    <w:p>
      <w:r>
        <w:t>Հանգստի ժամանակը աշխատանքից ազատ ժամանակն է, որը աշխատողն օգտագործում է իր հայեցողությամբ։ Օրենսգիրքը սահմանում է հանգստի ժամանակի հետևյալ տեսակները՝ ընդմիջումներ աշխատանքային օրվա ընթացքում, ամենօրյա (միջհերթափոխային) հանգիստ, ամենշաբաթյա անընդմեջ հանգիստ, ոչ աշխատանքային օրեր (տոներ և հիշատակի օրեր) և ամենամյա արձակուրդ</w:t>
      </w:r>
      <w:r>
        <w:rPr>
          <w:rStyle w:val="FootnoteReference"/>
          <w:vertAlign w:val="superscript"/>
          <w:rFonts w:ascii="Aptos" w:hAnsi="Aptos" w:cs="Aptos"/>
        </w:rPr>
        <w:footnoteReference w:id="76"/>
      </w:r>
      <w:r>
        <w:t>։</w:t>
      </w:r>
    </w:p>
    <w:p>
      <w:r>
        <w:t>Աշխատանքային օրվա ընթացքում աշխատողներին տրվում է հանգստանալու և սնվելու համար ընդմիջում՝ ոչ պակաս, քան կես ժամ և ոչ ավելի, քան երկու ժամ տևողությամբ, որը, որպես կանոն, աշխատաժամանակում չի ներառվում</w:t>
      </w:r>
      <w:r>
        <w:rPr>
          <w:rStyle w:val="FootnoteReference"/>
          <w:vertAlign w:val="superscript"/>
          <w:rFonts w:ascii="Aptos" w:hAnsi="Aptos" w:cs="Aptos"/>
        </w:rPr>
        <w:footnoteReference w:id="77"/>
      </w:r>
      <w:r>
        <w:t>։</w:t>
      </w:r>
    </w:p>
    <w:p>
      <w:r>
        <w:t>Ամենօրյա անընդմեջ հանգստի տևողությունը աշխատանքային օրերի (հերթափոխերի) միջև չի կարող 11 ժամից պակաս լինել, իսկ ամենշաբաթյա անընդմեջ հանգիստը՝ 35 ժամից</w:t>
      </w:r>
      <w:r>
        <w:rPr>
          <w:rStyle w:val="FootnoteReference"/>
          <w:vertAlign w:val="superscript"/>
          <w:rFonts w:ascii="Aptos" w:hAnsi="Aptos" w:cs="Aptos"/>
        </w:rPr>
        <w:footnoteReference w:id="78"/>
      </w:r>
      <w:r>
        <w:t>։ Հանգստյան և ոչ աշխատանքային տոնական օրերին աշխատանքի ներգրավելն ընդհանուր առմամբ արգելվում է՝ բացառությամբ օրենքով սահմանված դեպքերի, որոնք հիմնականում համընկնում են արտաժամյա աշխատանքի թույլատրման հիմքերի հետ (EUROPEAN COMMISSION FOR DEMOCRACY THROUGH LAW (VENICE COMMISSION) 2016, էջ 68–69)։</w:t>
      </w:r>
    </w:p>
    <w:p>
      <w:r>
        <w:t>Այսպիսով, ՀՀ աշխատանքային օրենսդրությունը սահմանում է աշխատաժամանակի և հանգստի ժամանակի կարգավորման համապարփակ շրջանակ՝ նպատակ ունենալով պաշտպանել աշխատողների առողջությունն ու սոցիալական իրավունքները։ Սակայն իրավակիրառ պրակտիկան և մասնագիտական վերլուծությունները ցույց են տալիս, որ օրենսդրական որոշ բացեր, մասնավորապես՝ կապված ոչ ստանդարտ աշխատանքային ռեժիմների (հերթափոխային աշխատանք, գումարային հաշվարկ, չնորմավորված օր) հետ, ստեղծում են անորոշություններ և կարող են հանգեցնել աշխատողների իրավունքների խախտման։ Օրենսդրության հետագա հստակեցումն այս ուղղությամբ էական նշանակություն ունի՝ աշխատանքային հարաբերություններում իրավական որոշակիություն և կանխատեսելիություն ապահովելու համար։</w:t>
      </w:r>
    </w:p>
    <w:p>
      <w:pPr>
        <w:pStyle w:val="Heading2"/>
      </w:pPr>
      <w:bookmarkStart w:id="108" w:name="_Toc_heading_8"/>
      <w:r>
        <w:t>2.3. Աշխատանքային վեճեր և դրանց լուծման մեխանիզմները</w:t>
      </w:r>
      <w:bookmarkEnd w:id="108"/>
    </w:p>
    <w:p>
      <w:r>
        <w:t>Հայաստանի Հանրապետության աշխատանքային օրենսդրությունը սահմանում է աշխատանքային հարաբերությունների ընթացքում ծագող տարաձայնությունների լուծման հստակ մեխանիզմներ։ Աշխատանքային վեճը, ըստ Աշխատանքային օրենսգրքի 263-րդ հոդվածի, աշխատողի և գործատուի միջև առաջացած տարաձայնությունն է, որը վերաբերում է օրենսդրությամբ, կոլեկտիվ կամ աշխատանքային պայմանագրով սահմանված իրավունքների իրականացմանն ու պարտականությունների կատարմանը</w:t>
      </w:r>
      <w:r>
        <w:rPr>
          <w:rStyle w:val="FootnoteReference"/>
          <w:vertAlign w:val="superscript"/>
          <w:rFonts w:ascii="Aptos" w:hAnsi="Aptos" w:cs="Aptos"/>
        </w:rPr>
        <w:footnoteReference w:id="79"/>
      </w:r>
      <w:r>
        <w:t>։ Այս վեճերը հիմնականում բաժանվում են երկու խմբի՝ անհատական և կոլեկտիվ, և յուրաքանչյուրի համար նախատեսված է լուծման իր առանձին ընթացակարգը։</w:t>
      </w:r>
    </w:p>
    <w:p>
      <w:r>
        <w:t>Անհատական աշխատանքային վեճերը, որպես կանոն, վերաբերում են կոնկրետ աշխատողի և գործատուի միջև ծագած խնդիրներին՝ կապված աշխատանքային պայմանագրի պայմանների փոփոխման, դադարեցման կամ լուծման հետ։ ՀՀ օրենսդրությամբ այս վեճերի լուծման հիմնական մարմինը դատարանն է</w:t>
      </w:r>
      <w:r>
        <w:rPr>
          <w:rStyle w:val="FootnoteReference"/>
          <w:vertAlign w:val="superscript"/>
          <w:rFonts w:ascii="Aptos" w:hAnsi="Aptos" w:cs="Aptos"/>
        </w:rPr>
        <w:footnoteReference w:id="80"/>
      </w:r>
      <w:r>
        <w:t>։ ՀՀ Աշխատանքային օրենսգրքի 265-րդ հոդվածի համաձայն՝ եթե աշխատողը համաձայն չէ գործատուի նախաձեռնությամբ աշխատանքի պայմանների փոփոխման կամ պայմանագրի լուծման հետ, նա իրավունք ունի համապատասխան ակտը ստանալուց հետո երկու ամսվա ընթացքում դիմել դատարան</w:t>
      </w:r>
      <w:r>
        <w:rPr>
          <w:rStyle w:val="FootnoteReference"/>
          <w:vertAlign w:val="superscript"/>
          <w:rFonts w:ascii="Aptos" w:hAnsi="Aptos" w:cs="Aptos"/>
        </w:rPr>
        <w:footnoteReference w:id="81"/>
      </w:r>
      <w:r>
        <w:t>։ Եթե դատարանը պարզում է, որ գործատուի որոշումը եղել է առանց օրինական հիմքերի կամ օրենքի խախտմամբ, աշխատողի խախտված իրավունքները ենթակա են վերականգնման։ Սա կարող է ներառել աշխատողին իր նախկին աշխատանքում վերականգնելը և հարկադիր պարապուրդի ամբողջ ժամանակահատվածի համար միջին աշխատավարձի չափով հատուցում վճարելը։</w:t>
      </w:r>
    </w:p>
    <w:p>
      <w:r>
        <w:t>Հարկ է նշել, որ կան իրավիճակներ, երբ աշխատողի վերականգնումը նախկին պաշտոնում անհնար է։ Օրենսգիրքը սահմանում է, որ «տնտեսական, տեխնոլոգիական, կազմակերպչական պատճառներով» կամ կողմերի միջև հետագա աշխատանքային հարաբերությունների անհնարինության դեպքում դատարանը կարող է աշխատողին չվերականգնել աշխատանքում։ Նման դեպքերում գործատուն պարտավորվում է վճարել հատուցում հարկադիր պարապուրդի համար, ինչպես նաև լրացուցիչ փոխհատուցում՝ աշխատանքում չվերականգնելու դիմաց, որի չափը կարող է հասնել մինչև աշխատողի միջին աշխատավարձի տասներկուապատիկին</w:t>
      </w:r>
      <w:r>
        <w:rPr>
          <w:rStyle w:val="FootnoteReference"/>
          <w:vertAlign w:val="superscript"/>
          <w:rFonts w:ascii="Aptos" w:hAnsi="Aptos" w:cs="Aptos"/>
        </w:rPr>
        <w:footnoteReference w:id="82"/>
      </w:r>
      <w:r>
        <w:t>։</w:t>
      </w:r>
    </w:p>
    <w:p>
      <w:r>
        <w:t>Դատական կարգից բացի, անհատական վեճերը կարող են լուծվել նաև արբիտրաժային տրիբունալի միջոցով։ Սա հնարավոր է, եթե կողմերի միջև կնքվել է արբիտրաժային համաձայնություն, կամ եթե կոլեկտիվ պայմանագիրը նման հնարավորություն է նախատեսում։ Այնուամենայնիվ, օրենքը պաշտպանում է աշխատողի իրավունքները՝ նշելով, որ արբիտրաժային համաձայնությունը չի սահմանափակում աշխատողի՝ դատարան դիմելու իրավունքը, բացառությամբ այն դեպքի, երբ համաձայնությունը կնքվել է վեճի ծագումից հետո, և կողմերն անվերապահորեն համաձայնել են վեճը հանձնել արբիտրաժի լուծմանը</w:t>
      </w:r>
      <w:r>
        <w:rPr>
          <w:rStyle w:val="FootnoteReference"/>
          <w:vertAlign w:val="superscript"/>
          <w:rFonts w:ascii="Aptos" w:hAnsi="Aptos" w:cs="Aptos"/>
        </w:rPr>
        <w:footnoteReference w:id="83"/>
      </w:r>
      <w:r>
        <w:t>։</w:t>
      </w:r>
    </w:p>
    <w:p>
      <w:r>
        <w:t>Կոլեկտիվ աշխատանքային վեճերն ավելի բարդ բնույթ ունեն և ծագում են արհեստակցական միության և գործատուի (կամ գործատուների միության) միջև։ Դրանք հիմնականում վերաբերում են կոլեկտիվ պայմանագրի կնքման, փոփոխման կամ կատարման հետ կապված տարաձայնություններին</w:t>
      </w:r>
      <w:r>
        <w:rPr>
          <w:rStyle w:val="FootnoteReference"/>
          <w:vertAlign w:val="superscript"/>
          <w:rFonts w:ascii="Aptos" w:hAnsi="Aptos" w:cs="Aptos"/>
        </w:rPr>
        <w:footnoteReference w:id="84"/>
      </w:r>
      <w:r>
        <w:t>։ Դրանց լուծման ընթացակարգը բազմափուլ է և նպատակ ունի հնարավորինս խուսափել ծայրահեղ միջոցներից։ Առաջին և պարտադիր փուլը հաշտեցման հանձնաժողովն է</w:t>
      </w:r>
      <w:r>
        <w:t>,</w:t>
      </w:r>
      <w:r>
        <w:rPr>
          <w:rStyle w:val="FootnoteReference"/>
          <w:vertAlign w:val="superscript"/>
          <w:rFonts w:ascii="Aptos" w:hAnsi="Aptos" w:cs="Aptos"/>
        </w:rPr>
        <w:footnoteReference w:id="85"/>
      </w:r>
      <w:r>
        <w:t xml:space="preserve"> որը ստեղծվում է վեճի կողմերի հավասար թվով ներկայացուցիչներից և պետք է յոթնօրյա ժամկետում քննարկի վեճը։ Եթե հանձնաժողովում համաձայնություն է ձեռք բերվում, ընդունվում է պարտադիր կատարման ենթակա որոշում, իսկ եթե ոչ՝ կազմվում է տարաձայնությունների մասին արձանագրություն</w:t>
      </w:r>
      <w:r>
        <w:rPr>
          <w:rStyle w:val="FootnoteReference"/>
          <w:vertAlign w:val="superscript"/>
          <w:rFonts w:ascii="Aptos" w:hAnsi="Aptos" w:cs="Aptos"/>
        </w:rPr>
        <w:footnoteReference w:id="86"/>
      </w:r>
      <w:r>
        <w:t>։ Եթե հաշտեցման հանձնաժողովը չի հասնում համաձայնության, կողմերը կարող են երեքօրյա ժամկետում հրավիրել միջնորդի, հատկապես երբ վեճը վերաբերում է կոլեկտիվ պայմանագրի կնքմանը կամ փոփոխմանը</w:t>
      </w:r>
      <w:r>
        <w:rPr>
          <w:rStyle w:val="FootnoteReference"/>
          <w:vertAlign w:val="superscript"/>
          <w:rFonts w:ascii="Aptos" w:hAnsi="Aptos" w:cs="Aptos"/>
        </w:rPr>
        <w:footnoteReference w:id="87"/>
      </w:r>
      <w:r>
        <w:t>։ Միջնորդը կողմերին կարող է առաջարկություններ ներկայացնել, սակայն նրա դերը հիմնականում խորհրդատվական է։ Եթե կոլեկտիվ վեճը վերաբերում է արդեն կնքված պայմանագրի դրույթների կատարմանը, և հաշտեցման փուլում համաձայնություն ձեռք չի բերվել, կողմերը կարող են տասնօրյա ժամկետում դիմել դատարան</w:t>
      </w:r>
      <w:r>
        <w:rPr>
          <w:rStyle w:val="FootnoteReference"/>
          <w:vertAlign w:val="superscript"/>
          <w:rFonts w:ascii="Aptos" w:hAnsi="Aptos" w:cs="Aptos"/>
        </w:rPr>
        <w:footnoteReference w:id="88"/>
      </w:r>
      <w:r>
        <w:t>։ Որպես ծայրահեղ միջոց՝ արհմիությունն իրավունք ունի գործադուլ կազմակերպել, բայց միայն այն դեպքում, երբ հաշտեցման գործընթացներն արդյունք չեն տվել, կամ երբ գործատուն խուսափում է դրանցից կամ չի կատարում ձեռք բերված պայմանավորվածությունները</w:t>
      </w:r>
      <w:r>
        <w:rPr>
          <w:rStyle w:val="FootnoteReference"/>
          <w:vertAlign w:val="superscript"/>
          <w:rFonts w:ascii="Aptos" w:hAnsi="Aptos" w:cs="Aptos"/>
        </w:rPr>
        <w:footnoteReference w:id="89"/>
      </w:r>
      <w:r>
        <w:t>։ Գործադուլ հայտարարելու համար անհրաժեշտ է կազմակերպության աշխատողների ընդհանուր թվի առնվազն երկու երրորդի համաձայնությունը, որը ստացվում է գաղտնի քվեարկությամբ, իսկ գործատուն պետք է գրավոր տեղեկացվի նախատեսվող գործադուլից առնվազն յոթ օր առաջ</w:t>
      </w:r>
      <w:r>
        <w:rPr>
          <w:rStyle w:val="FootnoteReference"/>
          <w:vertAlign w:val="superscript"/>
          <w:rFonts w:ascii="Aptos" w:hAnsi="Aptos" w:cs="Aptos"/>
        </w:rPr>
        <w:footnoteReference w:id="90"/>
      </w:r>
      <w:r>
        <w:t>։</w:t>
      </w:r>
    </w:p>
    <w:p>
      <w:r>
        <w:t>Թեև օրենսդրությունը սահմանում է վեճերի լուծման համակարգված ընթացակարգեր, իրավական վերլուծությունները ցույց են տալիս որոշակի բացեր և խնդիրներ։ Օրինակ, Գյուրջյանի (2021) հետազոտության մեջ նշվում է, որ Աշխատանքային օրենսգրքով սահմանված «կոլեկտիվ աշխատանքային վեճ» հասկացությունը բավականին նեղ է։ Այն հիմնականում ընդգրկում է կոլեկտիվ պայմանագրի հետ կապված հարցերը՝ դուրս թողնելով աշխատողների այլ «մասնագիտական, սոցիալական և տնտեսական պահանջները», որոնք կարող են վեճի առարկա դառնալ</w:t>
      </w:r>
      <w:r>
        <w:rPr>
          <w:rStyle w:val="FootnoteReference"/>
          <w:vertAlign w:val="superscript"/>
          <w:rFonts w:ascii="Aptos" w:hAnsi="Aptos" w:cs="Aptos"/>
        </w:rPr>
        <w:footnoteReference w:id="91"/>
      </w:r>
      <w:r>
        <w:t>։ Սա նշանակում է, որ եթե աշխատողների պահանջներն ուղղակիորեն կապված չեն կոլեկտիվ պայմանագրի կնքման կամ փոփոխման հետ, դրանք կարող են դուրս մնալ կոլեկտիվ վեճի լուծման մեխանիզմներից։ Այս խնդրի լուծման համար առաջարկվում է ընդլայնել կոլեկտիվ վեճի սահմանումը՝ ներառելով նաև այլ սոցիալ-տնտեսական պայմանների շուրջ բանակցությունները</w:t>
      </w:r>
      <w:r>
        <w:rPr>
          <w:rStyle w:val="FootnoteReference"/>
          <w:vertAlign w:val="superscript"/>
          <w:rFonts w:ascii="Aptos" w:hAnsi="Aptos" w:cs="Aptos"/>
        </w:rPr>
        <w:footnoteReference w:id="92"/>
      </w:r>
      <w:r>
        <w:t>։</w:t>
      </w:r>
    </w:p>
    <w:p>
      <w:r>
        <w:t>Այսպիսով, ՀՀ աշխատանքային իրավունքը նախատեսում է ինչպես անհատական, այնպես էլ կոլեկտիվ վեճերի լուծման կառուցակարգված համակարգ։ Անհատական վեճերի դեպքում կենտրոնական դեր ունի դատարանը, որը կարող է ոչ միայն վերականգնել աշխատողի իրավունքները, այլև նշանակել դրամական փոխհատուցում։ Կոլեկտիվ վեճերի կարգավորումն ավելի բարդ է՝ ներառելով հաշտեցման, միջնորդության և, որպես ծայրահեղ միջոց, գործադուլի իրավունքը։ Սակայն իրավական դաշտի վերլուծությունը ցույց է տալիս, որ գոյություն ունեցող կարգավորումները դեռևս կատարելագործման կարիք ունեն՝ մասնավորապես կոլեկտիվ վեճի առարկայի շրջանակն ընդլայնելու և աշխատողների կոլեկտիվ շահերի պաշտպանության մեխանիզմներն ուժեղացնելու ուղղությամբ։</w:t>
      </w:r>
    </w:p>
    <w:p>
      <w:r>
        <w:br w:type="page"/>
      </w:r>
    </w:p>
    <w:p>
      <w:pPr>
        <w:pStyle w:val="Heading1"/>
      </w:pPr>
      <w:bookmarkStart w:id="109" w:name="_Toc_heading_9"/>
      <w:r>
        <w:t>Եզրակացություն</w:t>
      </w:r>
      <w:bookmarkEnd w:id="109"/>
    </w:p>
    <w:p>
      <w:r>
        <w:t>Հետազոտության արդյունքում պարզվել է, որ ՀՀ ժամանակակից աշխատանքային օրենսդրությունն անցել է զարգացման բարդ ճանապարհ՝ խորհրդային շրջանի ձևական, սակայն փաստացի չկիրառվող նորմերից անցնելով շուկայական տնտեսության պահանջներին համապատասխանող իրավական դաշտի։ Այս գործընթացի անկյունաքարը դարձավ 2004 թվականի Աշխատանքային օրենսգրքի ընդունումը, որից հետո օրենսդրությունը շարունակաբար ենթարկվել է փոփոխությունների։ Այդ բարեփոխումները պայմանավորված են եղել ինչպես ներպետական իրավակիրառ պրակտիկայում ի հայտ եկած բացերով ու հակասություններով, այնպես էլ միջազգային պարտավորությունների կատարման անհրաժեշտությամբ, որոնք բխում են, մասնավորապես, Աշխատանքի միջազգային կազմակերպության կոնվենցիաներից և Եվրոպական միության հետ համագործակցությունից։</w:t>
      </w:r>
    </w:p>
    <w:p>
      <w:r>
        <w:t>Աշխատանքային իրավունքի հիմնարար սկզբունքների և աղբյուրների համակարգի վերլուծությունը ցույց տվեց, որ թեև հռչակվել են աշխատանքի ազատության, խտրականության արգելքի և հարկադիր աշխատանքի բացառման սկզբունքները, դրանց լիարժեք իրացման ճանապարհին առկա են խոչընդոտներ։ Օրինակ՝ «հարկադիր աշխատանք» եզրույթի օրենսդրական սահմանման երկարատև բացակայությունը և դրա հետագա ոչ լիարժեք ձևակերպումը վկայում են, որ օրենսդրության համապատասխանեցումը միջազգային չափանիշներին շարունակական գործընթաց է։</w:t>
      </w:r>
    </w:p>
    <w:p>
      <w:r>
        <w:t>Աշխատանքային պայմանագրի, աշխատաժամանակի ու հանգստի ժամանակի, ինչպես նաև աշխատանքային վեճերի լուծման իրավական կարգավորումների ուսումնասիրությամբ բացահայտվել են մի շարք խնդրահարույց դրույթներ և իրավական բացեր։ Մտահոգիչ է որոշակի ժամկետով կնքված պայմանագրերի չարաշահման և աշխատանքային հարաբերությունները քաղաքացիաիրավական պայմանագրերով քողարկելու պրակտիկան։ Գործատուի նախաձեռնությամբ պայմանագրի լուծման որոշ հիմքեր, ինչպիսիք են «վստահությունը կորցնելը» կամ մեկ օրվա բացակայության համար աշխատանքից անհապաղ ազատումը, միջազգային կառույցները քննադատել են որպես անհամաչափ միջոցներ։ Բացի այդ, աշխատաժամանակի որոշ ռեժիմների (հերթափոխային աշխատանք, չնորմավորված օր) սահմանումների բացակայությունն անորոշություններ է ստեղծում իրավակիրառ պրակտիկայում։ Կոլեկտիվ աշխատանքային վեճերի կարգավորման մեխանիզմների վերլուծությունը ցույց է տվել, որ վեճի առարկայի նեղ սահմանումը կարող է սահմանափակել աշխատողների կոլեկտիվ իրավունքների պաշտպանության հնարավորությունները։</w:t>
      </w:r>
    </w:p>
    <w:p>
      <w:r>
        <w:t>Հետազոտության արդյունքները վկայում են, որ ՀՀ աշխատանքային իրավունքը դինամիկ զարգացող, սակայն դեռևս կատարելագործման կարիք ունեցող համակարգ է։ Չնայած իրականացված բազմաթիվ բարեփոխումներին՝ օրենսդրական դաշտում առկա են բացեր, անորոշություններ և միջազգային լավագույն փորձին ոչ լիարժեք համապատասխանող դրույթներ։ Այս խնդիրների լուծումը պահանջում է շարունակական օրենսդրական աշխատանք, որը պետք է ուղղված լինի իրավական նորմերի հստակեցմանը, աշխատողների իրավունքների պաշտպանության երաշխիքների ուժեղացմանը և գործատուի ու աշխատողի շահերի միջև արդարացի հավասարակշռության ապահովմանը։</w:t>
      </w:r>
    </w:p>
    <w:p>
      <w:r>
        <w:br w:type="page"/>
      </w:r>
    </w:p>
    <w:p>
      <w:pPr>
        <w:pStyle w:val="Heading1"/>
      </w:pPr>
      <w:r>
        <w:t>ՕԳՏԱԳՈՐԾՎԱԾ ԳՐԱԿԱՆՈՒԹՅԱՆ ՑԱՆԿ</w:t>
      </w:r>
    </w:p>
    <w:p>
      <w:pPr>
        <w:ind w:left="709" w:hanging="709"/>
      </w:pPr>
      <w:r>
        <w:t xml:space="preserve">Աշխատանքային պայմանագիր. 2010. «Աշխատանքային պայմանագիր.» </w:t>
      </w:r>
      <w:hyperlink r:id="rId10">
        <w:r>
          <w:rPr>
            <w:color w:val="0563C1"/>
            <w:u w:val="single"/>
          </w:rPr>
          <w:t xml:space="preserve">https://www.aeb.am/media/2019/07/2761.pdf</w:t>
        </w:r>
      </w:hyperlink>
      <w:r>
        <w:t xml:space="preserve"> (accessed 18.09.2026).</w:t>
      </w:r>
    </w:p>
    <w:p>
      <w:pPr>
        <w:ind w:left="709" w:hanging="709"/>
      </w:pPr>
      <w:r>
        <w:t xml:space="preserve">Գյուրջյան, Դավիթ, Գենյա Պետրոսյան, Արաքս Մելքոնյան, Արթուր Սաքունց, Էլեն Մանասերյան, Վահրամ Թոքմաջյան, and Քրիստինա Մարգարյան. 2021. </w:t>
      </w:r>
      <w:r>
        <w:rPr>
          <w:i/>
        </w:rPr>
        <w:t>Աշխատանքային իրավահարաբերություններ և օրենսդրություն. խնդիրներ և լուծումներ</w:t>
      </w:r>
      <w:r>
        <w:t xml:space="preserve">. Իրավունքի զարգացման և պաշտպանության հիմնադրամ. </w:t>
      </w:r>
      <w:hyperlink r:id="rId11">
        <w:r>
          <w:rPr>
            <w:color w:val="0563C1"/>
            <w:u w:val="single"/>
          </w:rPr>
          <w:t xml:space="preserve">https://prwb.am/wp-content/uploads/2021/11/Աշխատանքային-իրավունք-հետազոտություն-ԻԶՊՀ.pdf</w:t>
        </w:r>
      </w:hyperlink>
      <w:r>
        <w:t xml:space="preserve"> (accessed 18.09.2026).</w:t>
      </w:r>
    </w:p>
    <w:p>
      <w:pPr>
        <w:ind w:left="709" w:hanging="709"/>
      </w:pPr>
      <w:r>
        <w:t xml:space="preserve">EUROPEAN COMMISSION, HIGH REPRESENTATIVE OF THE UNION FOR FOREIGN AFFAIRS AND SECURITY POLICY. 2023. «The EU Special Incentive Arrangement for Sustainable Development and Good Governance (GSP+) assessment of the Republic of Armenia covering the period 2020-2022.» </w:t>
      </w:r>
      <w:r>
        <w:rPr>
          <w:i/>
        </w:rPr>
        <w:t>EUROPEAN COMMISSION</w:t>
      </w:r>
      <w:r>
        <w:t xml:space="preserve">. </w:t>
      </w:r>
      <w:hyperlink r:id="rId12">
        <w:r>
          <w:rPr>
            <w:color w:val="0563C1"/>
            <w:u w:val="single"/>
          </w:rPr>
          <w:t xml:space="preserve">https://eur-lex.europa.eu/legal-content/EN/TXT/PDF/?uri=CELEX:52023SC0367</w:t>
        </w:r>
      </w:hyperlink>
      <w:r>
        <w:t xml:space="preserve"> (accessed 18.09.2026).</w:t>
      </w:r>
    </w:p>
    <w:p>
      <w:pPr>
        <w:ind w:left="709" w:hanging="709"/>
      </w:pPr>
      <w:r>
        <w:t xml:space="preserve">EUROPEAN COMMISSION FOR DEMOCRACY THROUGH LAW (VENICE COMMISSION). 2016. «LABOUR CODE AS OF 17 JUNE 2016.» </w:t>
      </w:r>
      <w:r>
        <w:rPr>
          <w:i/>
        </w:rPr>
        <w:t>EUROPEAN COMMISSION FOR DEMOCRACY THROUGH LAW (VENICE COMMISSION)</w:t>
      </w:r>
      <w:r>
        <w:t xml:space="preserve">. </w:t>
      </w:r>
      <w:hyperlink r:id="rId13">
        <w:r>
          <w:rPr>
            <w:color w:val="0563C1"/>
            <w:u w:val="single"/>
          </w:rPr>
          <w:t xml:space="preserve">https://www.venice.coe.int/webforms/documents/default.aspx?pdffile=CDL-REF(2021)026</w:t>
        </w:r>
      </w:hyperlink>
      <w:r>
        <w:t xml:space="preserve"> (accessed 18.09.2026).</w:t>
      </w:r>
    </w:p>
    <w:p>
      <w:pPr>
        <w:ind w:left="709" w:hanging="709"/>
      </w:pPr>
      <w:r>
        <w:t xml:space="preserve">Hartwell, Christopher A. 2010. «Employment Protection Legislation and Labor Markets in Transition: Assessing the Effects of the Labor Code in Armenia.» </w:t>
      </w:r>
      <w:r>
        <w:rPr>
          <w:i/>
        </w:rPr>
        <w:t>The European Journal of Comparative Economics</w:t>
      </w:r>
      <w:r>
        <w:t xml:space="preserve"> 7 (2): 413–445. ISSN: 1824-2979. </w:t>
      </w:r>
      <w:hyperlink r:id="rId14">
        <w:r>
          <w:rPr>
            <w:color w:val="0563C1"/>
            <w:u w:val="single"/>
          </w:rPr>
          <w:t xml:space="preserve">https://ejce.liuc.it/18242979201002/182429792010070208.pdf</w:t>
        </w:r>
      </w:hyperlink>
      <w:r>
        <w:t xml:space="preserve"> (accessed 18.09.2026).</w:t>
      </w:r>
    </w:p>
    <w:p>
      <w:pPr>
        <w:ind w:left="709" w:hanging="709"/>
      </w:pPr>
      <w:r>
        <w:t xml:space="preserve">Հայաստանի Հանրապետություն. 1990. </w:t>
      </w:r>
      <w:r>
        <w:rPr>
          <w:i/>
        </w:rPr>
        <w:t>ՔԱՂԱՔԱԿԱՆ ԵՎ ՔԱՂԱՔԱՑԻԱԿԱՆ ԻՐԱՎՈՒՆՔՆԵՐԻ ՄԻՋԱԶԳԱՅԻՆ ԴԱՇՆԱԳՐԻ 40-ՐԴ ՀՈԴՎԱԾԻ ՀԱՄԱՁԱՅՆ ՄԱԿ-Ի ՄԱՐԴՈՒ ԻՐԱՎՈՒՆՔՆԵՐԻ ԿՈՄԻՏԵԻՆ ՆԵՐԿԱՅԱՑՎՈՂ ՀԱՅԱՍՏԱՆԻ ՀԱՆՐԱՊԵՏՈՒԹՅԱՆ ԱԶԳԱՅԻՆ ԶԵԿՈՒՅՑ</w:t>
      </w:r>
      <w:r>
        <w:t xml:space="preserve">. ՄԱԿ-Ի ՄԱՐԴՈՒ ԻՐԱՎՈՒՆՔՆԵՐԻ ԿՈՄԻՏԵ. </w:t>
      </w:r>
      <w:hyperlink r:id="rId15">
        <w:r>
          <w:rPr>
            <w:color w:val="0563C1"/>
            <w:u w:val="single"/>
          </w:rPr>
          <w:t xml:space="preserve">https://www.e-gov.am/u_files/file/kron/Armenian</w:t>
        </w:r>
      </w:hyperlink>
      <w:r>
        <w:t xml:space="preserve"> report to CCPR.pdf (accessed 18.09.2026).</w:t>
      </w:r>
    </w:p>
    <w:p>
      <w:pPr>
        <w:ind w:left="709" w:hanging="709"/>
      </w:pPr>
      <w:r>
        <w:t xml:space="preserve">ՀՀ Ազգային ժողով. 2004. </w:t>
      </w:r>
      <w:r>
        <w:rPr>
          <w:i/>
        </w:rPr>
        <w:t>ՀԱՅԱՍՏԱՆԻ ՀԱՆՐԱՊԵՏՈՒԹՅԱՆ ԱՇԽԱՏԱՆՔԱՅԻՆ ՕՐԵՆՍԳԻՐՔ</w:t>
      </w:r>
      <w:r>
        <w:t xml:space="preserve">. ՀՀ Ազգային ժողով. </w:t>
      </w:r>
      <w:hyperlink r:id="rId16">
        <w:r>
          <w:rPr>
            <w:color w:val="0563C1"/>
            <w:u w:val="single"/>
          </w:rPr>
          <w:t xml:space="preserve">https://arpharma.am/wp-content/uploads/2019/11/ՀՀ-աշխատանքային-օրենսգիրք.pdf</w:t>
        </w:r>
      </w:hyperlink>
      <w:r>
        <w:t xml:space="preserve"> (accessed 18.09.2026).</w:t>
      </w:r>
    </w:p>
    <w:p>
      <w:pPr>
        <w:ind w:left="709" w:hanging="709"/>
      </w:pPr>
      <w:r>
        <w:t xml:space="preserve">ՀՀ կառավարություն. 2012. </w:t>
      </w:r>
      <w:r>
        <w:rPr>
          <w:i/>
        </w:rPr>
        <w:t>ԵՎՐՈՊԱԿԱՆ ՍՈՑԻԱԼԱԿԱՆ ԽԱՐՏԻԱ /ՎԵՐԱՆԱՅՎԱԾ/ Հայաստանի Հանրապետության զեկույց</w:t>
      </w:r>
      <w:r>
        <w:t xml:space="preserve">. ՀՀ կառավարություն. </w:t>
      </w:r>
      <w:hyperlink r:id="rId17">
        <w:r>
          <w:rPr>
            <w:color w:val="0563C1"/>
            <w:u w:val="single"/>
          </w:rPr>
          <w:t xml:space="preserve">https://www.e-gov.am/u_files/file/decrees/arc_voroshum/2012/04/MAR14-5_1.pdf</w:t>
        </w:r>
      </w:hyperlink>
      <w:r>
        <w:t xml:space="preserve"> (accessed 18.09.2026).</w:t>
      </w:r>
    </w:p>
    <w:p>
      <w:pPr>
        <w:ind w:left="709" w:hanging="709"/>
      </w:pPr>
      <w:r>
        <w:t xml:space="preserve">Khachatryan, Mikayel, and Aram Ghahramanyan. 2025. «EMPLOYEES’ SAFETY AND HEALTH AT WORK: COMPLIANCE OF ARMENIAN LABOUR LAW WITH EU OCCUPATIONAL HEALTH AND SAFETY REGULATIONS.» </w:t>
      </w:r>
      <w:r>
        <w:rPr>
          <w:i/>
        </w:rPr>
        <w:t>ՀՀ սահմանադրական դատարանի տեղեկագիր</w:t>
      </w:r>
      <w:r>
        <w:t xml:space="preserve">: 76. ISSN: 1829-1155. </w:t>
      </w:r>
      <w:hyperlink r:id="rId18">
        <w:r>
          <w:rPr>
            <w:color w:val="0563C1"/>
            <w:u w:val="single"/>
          </w:rPr>
          <w:t xml:space="preserve">https://doi.org/10.59560/18291155-2025.4-76</w:t>
        </w:r>
      </w:hyperlink>
      <w:r>
        <w:t>.</w:t>
      </w:r>
      <w:r>
        <w:t xml:space="preserve"> </w:t>
      </w:r>
      <w:hyperlink r:id="rId19">
        <w:r>
          <w:rPr>
            <w:color w:val="0563C1"/>
            <w:u w:val="single"/>
          </w:rPr>
          <w:t xml:space="preserve">https://www.concourt.am/pdf/uploads/69e091d1349cd_Mikayel</w:t>
        </w:r>
      </w:hyperlink>
      <w:r>
        <w:t xml:space="preserve"> Khachatryan, Aram Ghahramyan, 76-99 +.pdf (accessed 18.09.2026).</w:t>
      </w:r>
    </w:p>
    <w:p>
      <w:pPr>
        <w:ind w:left="709" w:hanging="709"/>
      </w:pPr>
      <w:r>
        <w:t xml:space="preserve">Mkhitaryan, Mariam. 2025. «Monitoring report Evaluation of the labour safety and dispute resolution system in Armenia.» </w:t>
      </w:r>
      <w:r>
        <w:rPr>
          <w:i/>
        </w:rPr>
        <w:t>European Union</w:t>
      </w:r>
      <w:r>
        <w:t xml:space="preserve">. </w:t>
      </w:r>
      <w:hyperlink r:id="rId20">
        <w:r>
          <w:rPr>
            <w:color w:val="0563C1"/>
            <w:u w:val="single"/>
          </w:rPr>
          <w:t xml:space="preserve">https://cepacso.am/storage/files/documents/2025-09-06/Full</w:t>
        </w:r>
      </w:hyperlink>
      <w:r>
        <w:t xml:space="preserve"> report_Labour rights.pdf (accessed 18.09.2026).</w:t>
      </w:r>
    </w:p>
    <w:p>
      <w:pPr>
        <w:ind w:left="709" w:hanging="709"/>
      </w:pPr>
      <w:r>
        <w:t xml:space="preserve">«Հայաստանի Հանրապետության աշխատանքային օրենսգրքում փոփոխություններ և լրացումներ կատարելու մասին» ՀՀ օրենքի նախագիծ. 2004. "«Հայաստանի Հանրապետության աշխատանքային օրենսգրքում փոփոխություններ և լրացումներ կատարելու մասին» ՀՀ օրենքի նախագիծ." </w:t>
      </w:r>
      <w:r>
        <w:rPr>
          <w:i/>
        </w:rPr>
        <w:t>Հայաստանի Հանրապետություն</w:t>
      </w:r>
      <w:r>
        <w:t xml:space="preserve">. </w:t>
      </w:r>
      <w:hyperlink r:id="rId21">
        <w:r>
          <w:rPr>
            <w:color w:val="0563C1"/>
            <w:u w:val="single"/>
          </w:rPr>
          <w:t xml:space="preserve">https://www.e-draft.am/ru/project/download/pdf?id=1745</w:t>
        </w:r>
      </w:hyperlink>
      <w:r>
        <w:t xml:space="preserve"> (accessed 18.09.2026).</w:t>
      </w:r>
    </w:p>
    <w:p>
      <w:pPr>
        <w:ind w:left="709" w:hanging="709"/>
      </w:pPr>
      <w:r>
        <w:t xml:space="preserve">Republic of Armenia. 2004. </w:t>
      </w:r>
      <w:r>
        <w:rPr>
          <w:i/>
        </w:rPr>
        <w:t>LABOR CODE OF THE REPUBLIC OF ARMENIA</w:t>
      </w:r>
      <w:r>
        <w:t xml:space="preserve">. Republic of Armenia. </w:t>
      </w:r>
      <w:hyperlink r:id="rId22">
        <w:r>
          <w:rPr>
            <w:color w:val="0563C1"/>
            <w:u w:val="single"/>
          </w:rPr>
          <w:t xml:space="preserve">https://www.hcwpolicylab.org/wp-content/uploads/2024/03/Labour-Code-of-Armenia.pdf</w:t>
        </w:r>
      </w:hyperlink>
      <w:r>
        <w:t xml:space="preserve"> (accessed 18.09.2026).</w:t>
      </w:r>
    </w:p>
    <w:p>
      <w:pPr>
        <w:ind w:left="709" w:hanging="709"/>
      </w:pPr>
      <w:r>
        <w:t xml:space="preserve">Republic of Armenia. 2019. </w:t>
      </w:r>
      <w:r>
        <w:rPr>
          <w:i/>
        </w:rPr>
        <w:t>DECENT WORK COUNTRY PROGRAMME of the Republic of Armenia for 2019–2023</w:t>
      </w:r>
      <w:r>
        <w:t xml:space="preserve">. Republic of Armenia. </w:t>
      </w:r>
      <w:hyperlink r:id="rId23">
        <w:r>
          <w:rPr>
            <w:color w:val="0563C1"/>
            <w:u w:val="single"/>
          </w:rPr>
          <w:t xml:space="preserve">https://www.ilo.org/sites/default/files/2024-04/DWCP</w:t>
        </w:r>
      </w:hyperlink>
      <w:r>
        <w:t xml:space="preserve"> Armenia 2019-2023.pdf (accessed 18.09.2026).</w:t>
      </w:r>
    </w:p>
    <w:p>
      <w:pPr>
        <w:ind w:left="709" w:hanging="709"/>
      </w:pPr>
      <w:r>
        <w:t xml:space="preserve">Տոնոյան, Անժելա. 2020. «ԱՇԽԱՏԱՆՔԱՅԻՆ ԵՎ ՔԱՂԱՔԱՑԻԱԻՐԱՎԱԿԱՆ ՊԱՅՄԱՆԱԳՐԵՐԻ ՀԱՐԱԲԵՐԱԿՑՈՒԹՅՈՒՆԸ ՀՀ-ՈՒՄ.» </w:t>
      </w:r>
      <w:r>
        <w:rPr>
          <w:i/>
        </w:rPr>
        <w:t>ՕՐԻՆԱԿԱՆՈՒԹՅՈՒՆ</w:t>
      </w:r>
      <w:r>
        <w:t xml:space="preserve"> 116: 76–79. </w:t>
      </w:r>
      <w:hyperlink r:id="rId24">
        <w:r>
          <w:rPr>
            <w:color w:val="0563C1"/>
            <w:u w:val="single"/>
          </w:rPr>
          <w:t xml:space="preserve">https://artsakhlib.am/wp-content/uploads/2020/05/Անժելա-Տոնոյան-Աշխատանքային-և-քաղաքացիաիրավական-պայմանագրերի-հարաբերակցությունը-ՀՀ-ում.pdf</w:t>
        </w:r>
      </w:hyperlink>
      <w:r>
        <w:t xml:space="preserve"> (accessed 18.09.2026).</w:t>
      </w:r>
    </w:p>
    <w:sectPr w:rsidR="00FC693F" w:rsidRPr="0006063C" w:rsidSect="00034616">
      <w:footerReference w:type="default" r:id="rId25"/>
      <w:pgSz w:w="11906" w:h="16838"/>
      <w:pgMar w:top="1134" w:right="56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footnotes.xml><?xml version="1.0" encoding="utf-8"?>
<w:footnotes xmlns:w="http://schemas.openxmlformats.org/wordprocessingml/2006/main" xmlns:r="http://schemas.openxmlformats.org/officeDocument/2006/relationships">
  <w:footnote w:type="separator" w:id="-1">
    <w:p>
      <w:r>
        <w:separator/>
      </w:r>
    </w:p>
  </w:footnote>
  <w:footnote w:type="continuationSeparator" w:id="0">
    <w:p>
      <w:r>
        <w:continuationSeparator/>
      </w:r>
    </w:p>
  </w:footnote>
  <w:footnote w:id="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Անժելա Տոնոյան, "ԱՇԽԱՏԱՆՔԱՅԻՆ ԵՎ ՔԱՂԱՔԱՑԻԻՐԱՎԱԿԱՆ ՊԱՅՄԱՆԱԳՐԵՐԻ ՀԱՐԱԲԵՐԱԿՑՈՒԹՅՈՒՆԸ ՀՀ-ՈՒՄ," ՕՐԻՆԱԿԱՆՈՒԹՅՈՒՆ 116 (2020), 76.</w:t>
      </w:r>
    </w:p>
  </w:footnote>
  <w:footnote w:id="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Christopher A. Hartwell, "Employment Protection Legislation and Labor Markets in Transition: Assessing the Effects of the Labor Code in Armenia," The European Journal of Comparative Economics 7 (2) (2010), 8;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4.</w:t>
      </w:r>
    </w:p>
  </w:footnote>
  <w:footnote w:id="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Mariam Mkhitaryan, "Monitoring report Evaluation of the labour safety and dispute resolution system in Armenia," European Union (2025), 6.</w:t>
      </w:r>
    </w:p>
  </w:footnote>
  <w:footnote w:id="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Mikayel Khachatryan, and Aram Ghahramanyan, "EMPLOYEES’ SAFETY AND HEALTH AT WORK: COMPLIANCE OF ARMENIAN LABOUR LAW WITH EU OCCUPATIONAL HEALTH AND SAFETY REGULATIONS," ՀՀ սահմանադրական դատարանի տեղեկագիր 76 (2025), 77.</w:t>
      </w:r>
    </w:p>
  </w:footnote>
  <w:footnote w:id="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22.</w:t>
      </w:r>
    </w:p>
  </w:footnote>
  <w:footnote w:id="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Անժելա Տոնոյան, "ԱՇԽԱՏԱՆՔԱՅԻՆ ԵՎ ՔԱՂԱՔԱՑԻԻՐԱՎԱԿԱՆ ՊԱՅՄԱՆԱԳՐԵՐԻ ՀԱՐԱԲԵՐԱԿՑՈՒԹՅՈՒՆԸ ՀՀ-ՈՒՄ," ՕՐԻՆԱԿԱՆՈՒԹՅՈՒՆ 116 (2020), 77.</w:t>
      </w:r>
    </w:p>
  </w:footnote>
  <w:footnote w:id="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Mikayel Khachatryan, and Aram Ghahramanyan, "EMPLOYEES’ SAFETY AND HEALTH AT WORK: COMPLIANCE OF ARMENIAN LABOUR LAW WITH EU OCCUPATIONAL HEALTH AND SAFETY REGULATIONS," ՀՀ սահմանադրական դատարանի տեղեկագիր 76 (2025), 76.</w:t>
      </w:r>
    </w:p>
  </w:footnote>
  <w:footnote w:id="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1.</w:t>
      </w:r>
    </w:p>
  </w:footnote>
  <w:footnote w:id="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5։</w:t>
      </w:r>
    </w:p>
  </w:footnote>
  <w:footnote w:id="1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Անժելա Տոնոյան, "ԱՇԽԱՏԱՆՔԱՅԻՆ ԵՎ ՔԱՂԱՔԱՑԻԻՐԱՎԱԿԱՆ ՊԱՅՄԱՆԱԳՐԵՐԻ ՀԱՐԱԲԵՐԱԿՑՈՒԹՅՈՒՆԸ ՀՀ-ՈՒՄ," ՕՐԻՆԱԿԱՆՈՒԹՅՈՒՆ 116 (2020), 77.</w:t>
      </w:r>
    </w:p>
  </w:footnote>
  <w:footnote w:id="1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77։</w:t>
      </w:r>
    </w:p>
  </w:footnote>
  <w:footnote w:id="1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77։</w:t>
      </w:r>
    </w:p>
  </w:footnote>
  <w:footnote w:id="1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6.</w:t>
      </w:r>
    </w:p>
  </w:footnote>
  <w:footnote w:id="1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2.</w:t>
      </w:r>
    </w:p>
  </w:footnote>
  <w:footnote w:id="1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5.</w:t>
      </w:r>
    </w:p>
  </w:footnote>
  <w:footnote w:id="1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Անժելա Տոնոյան, "ԱՇԽԱՏԱՆՔԱՅԻՆ ԵՎ ՔԱՂԱՔԱՑԻԻՐԱՎԱԿԱՆ ՊԱՅՄԱՆԱԳՐԵՐԻ ՀԱՐԱԲԵՐԱԿՑՈՒԹՅՈՒՆԸ ՀՀ-ՈՒՄ," ՕՐԻՆԱԿԱՆՈՒԹՅՈՒՆ 116 (2020), 76.</w:t>
      </w:r>
    </w:p>
  </w:footnote>
  <w:footnote w:id="1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4.</w:t>
      </w:r>
    </w:p>
  </w:footnote>
  <w:footnote w:id="1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Mikayel Khachatryan, and Aram Ghahramanyan, "EMPLOYEES’ SAFETY AND HEALTH AT WORK: COMPLIANCE OF ARMENIAN LABOUR LAW WITH EU OCCUPATIONAL HEALTH AND SAFETY REGULATIONS," ՀՀ սահմանադրական դատարանի տեղեկագիր 76 (2025), 77.</w:t>
      </w:r>
    </w:p>
  </w:footnote>
  <w:footnote w:id="1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1.</w:t>
      </w:r>
    </w:p>
  </w:footnote>
  <w:footnote w:id="2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w:t>
      </w:r>
    </w:p>
  </w:footnote>
  <w:footnote w:id="2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w:t>
      </w:r>
    </w:p>
  </w:footnote>
  <w:footnote w:id="2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Christopher A. Hartwell, "Employment Protection Legislation and Labor Markets in Transition: Assessing the Effects of the Labor Code in Armenia," The European Journal of Comparative Economics 7 (2) (2010), 8.</w:t>
      </w:r>
    </w:p>
  </w:footnote>
  <w:footnote w:id="2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8։</w:t>
      </w:r>
    </w:p>
  </w:footnote>
  <w:footnote w:id="2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1;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4.</w:t>
      </w:r>
    </w:p>
  </w:footnote>
  <w:footnote w:id="2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4.</w:t>
      </w:r>
    </w:p>
  </w:footnote>
  <w:footnote w:id="2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Christopher A. Hartwell, "Employment Protection Legislation and Labor Markets in Transition: Assessing the Effects of the Labor Code in Armenia," The European Journal of Comparative Economics 7 (2) (2010), 8.</w:t>
      </w:r>
    </w:p>
  </w:footnote>
  <w:footnote w:id="2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7։</w:t>
      </w:r>
    </w:p>
  </w:footnote>
  <w:footnote w:id="2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8։</w:t>
      </w:r>
    </w:p>
  </w:footnote>
  <w:footnote w:id="2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կառավարություն, ԵՎՐՈՊԱԿԱՆ ՍՈՑԻԱԼԱԿԱՆ ԽԱՐՏԻԱ /ՎԵՐԱՆԱՅՎԱԾ/ Հայաստանի Հանրապետության զեկույց (ՀՀ կառավարություն, 2012), 25.</w:t>
      </w:r>
    </w:p>
  </w:footnote>
  <w:footnote w:id="3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26։</w:t>
      </w:r>
    </w:p>
  </w:footnote>
  <w:footnote w:id="3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26։</w:t>
      </w:r>
    </w:p>
  </w:footnote>
  <w:footnote w:id="3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27։</w:t>
      </w:r>
    </w:p>
  </w:footnote>
  <w:footnote w:id="3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27։</w:t>
      </w:r>
    </w:p>
  </w:footnote>
  <w:footnote w:id="3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27։</w:t>
      </w:r>
    </w:p>
  </w:footnote>
  <w:footnote w:id="3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DECENT WORK COUNTRY PROGRAMME of the Republic of Armenia for 2019 - 2023 (Republic of Armenia, 2019), 5.</w:t>
      </w:r>
    </w:p>
  </w:footnote>
  <w:footnote w:id="3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5.</w:t>
      </w:r>
    </w:p>
  </w:footnote>
  <w:footnote w:id="3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HIGH REPRESENTATIVE OF THE UNION FOR FOREIGN AFFAIRS AND SECURITY POLICY, "The EU Special Incentive Arrangement for Sustainable Development and Good Governance (GSP+) assessment of the Republic of Armenia covering the period 2020-2022," EUROPEAN COMMISSION (2023), 14.</w:t>
      </w:r>
    </w:p>
  </w:footnote>
  <w:footnote w:id="3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5.</w:t>
      </w:r>
    </w:p>
  </w:footnote>
  <w:footnote w:id="3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Անժելա Տոնոյան, "ԱՇԽԱՏԱՆՔԱՅԻՆ ԵՎ ՔԱՂԱՔԱՑԻԻՐԱՎԱԿԱՆ ՊԱՅՄԱՆԱԳՐԵՐԻ ՀԱՐԱԲԵՐԱԿՑՈՒԹՅՈՒՆԸ ՀՀ-ՈՒՄ," ՕՐԻՆԱԿԱՆՈՒԹՅՈՒՆ 116 (2020), 77;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22.</w:t>
      </w:r>
    </w:p>
  </w:footnote>
  <w:footnote w:id="4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Դավիթ Գյուրջյան,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24.</w:t>
      </w:r>
    </w:p>
  </w:footnote>
  <w:footnote w:id="4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HIGH REPRESENTATIVE OF THE UNION FOR FOREIGN AFFAIRS AND SECURITY POLICY, "The EU Special Incentive Arrangement for Sustainable Development and Good Governance (GSP+) assessment of the Republic of Armenia covering the period 2020-2022," EUROPEAN COMMISSION (2023), 13, 15.</w:t>
      </w:r>
    </w:p>
  </w:footnote>
  <w:footnote w:id="4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HIGH REPRESENTATIVE OF THE UNION FOR FOREIGN AFFAIRS AND SECURITY POLICY, "The EU Special Incentive Arrangement for Sustainable Development and Good Governance (GSP+) assessment of the Republic of Armenia covering the period 2020-2022," EUROPEAN COMMISSION (2023), 13.</w:t>
      </w:r>
    </w:p>
  </w:footnote>
  <w:footnote w:id="4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30.</w:t>
      </w:r>
    </w:p>
  </w:footnote>
  <w:footnote w:id="4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31։</w:t>
      </w:r>
    </w:p>
  </w:footnote>
  <w:footnote w:id="4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25.</w:t>
      </w:r>
    </w:p>
  </w:footnote>
  <w:footnote w:id="4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37.</w:t>
      </w:r>
    </w:p>
  </w:footnote>
  <w:footnote w:id="4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31.</w:t>
      </w:r>
    </w:p>
  </w:footnote>
  <w:footnote w:id="4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36.</w:t>
      </w:r>
    </w:p>
  </w:footnote>
  <w:footnote w:id="4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33; ՀՀ Ազգային ժողով, ՀԱՅԱՍՏԱՆԻ ՀԱՆՐԱՊԵՏՈՒԹՅԱՆ ԱՇԽԱՏԱՆՔԱՅԻՆ ՕՐԵՆՍԳԻՐՔ (ՀՀ Ազգային ժողով, 2004), 26.</w:t>
      </w:r>
    </w:p>
  </w:footnote>
  <w:footnote w:id="5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26.</w:t>
      </w:r>
    </w:p>
  </w:footnote>
  <w:footnote w:id="5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33.</w:t>
      </w:r>
    </w:p>
  </w:footnote>
  <w:footnote w:id="5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26.</w:t>
      </w:r>
    </w:p>
  </w:footnote>
  <w:footnote w:id="5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35.</w:t>
      </w:r>
    </w:p>
  </w:footnote>
  <w:footnote w:id="5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26.</w:t>
      </w:r>
    </w:p>
  </w:footnote>
  <w:footnote w:id="5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36.</w:t>
      </w:r>
    </w:p>
  </w:footnote>
  <w:footnote w:id="5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38։</w:t>
      </w:r>
    </w:p>
  </w:footnote>
  <w:footnote w:id="5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38։</w:t>
      </w:r>
    </w:p>
  </w:footnote>
  <w:footnote w:id="5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38։</w:t>
      </w:r>
    </w:p>
  </w:footnote>
  <w:footnote w:id="5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 էջ 38։</w:t>
      </w:r>
    </w:p>
  </w:footnote>
  <w:footnote w:id="6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39, https://www.hcwpolicylab.org/wp-content/uploads/2024/03/Labour-Code-of-Armenia.pdf (accessed 18.09.2026).</w:t>
      </w:r>
    </w:p>
  </w:footnote>
  <w:footnote w:id="6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34, https://arpharma.am/wp-content/uploads/2019/11/ՀՀ-աշխատանքային-օրենսգիրք.pdf (accessed 18.09.2026); EUROPEAN COMMISSION FOR DEMOCRACY THROUGH LAW (VENICE COMMISSION), "LABOUR CODE AS OF 17 JUNE 2016" (EUROPEAN COMMISSION FOR DEMOCRACY THROUGH LAW (VENICE COMMISSION), 2016), page 51, https://www.venice.coe.int/webforms/documents/default.aspx?pdffile=CDL-REF(2021)026 (accessed 18.09.2026).</w:t>
      </w:r>
    </w:p>
  </w:footnote>
  <w:footnote w:id="6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47, https://prwb.am/wp-content/uploads/2021/11/Աշխատանքային-իրավունք-հետազոտություն-ԻԶՊՀ.pdf (accessed 18.09.2026).</w:t>
      </w:r>
    </w:p>
  </w:footnote>
  <w:footnote w:id="6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48, https://prwb.am/wp-content/uploads/2021/11/Աշխատանքային-իրավունք-հետազոտություն-ԻԶՊՀ.pdf (accessed 18.09.2026).</w:t>
      </w:r>
    </w:p>
  </w:footnote>
  <w:footnote w:id="6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47, https://prwb.am/wp-content/uploads/2021/11/Աշխատանքային-իրավունք-հետազոտություն-ԻԶՊՀ.pdf (accessed 18.09.2026).</w:t>
      </w:r>
    </w:p>
  </w:footnote>
  <w:footnote w:id="6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page 50, https://www.venice.coe.int/webforms/documents/default.aspx?pdffile=CDL-REF(2021)026 (accessed 18.09.2026).</w:t>
      </w:r>
    </w:p>
  </w:footnote>
  <w:footnote w:id="6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34, https://www.hcwpolicylab.org/wp-content/uploads/2024/03/Labour-Code-of-Armenia.pdf (accessed 18.09.2026).</w:t>
      </w:r>
    </w:p>
  </w:footnote>
  <w:footnote w:id="6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49, https://www.hcwpolicylab.org/wp-content/uploads/2024/03/Labour-Code-of-Armenia.pdf (accessed 18.09.2026).</w:t>
      </w:r>
    </w:p>
  </w:footnote>
  <w:footnote w:id="6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41, https://arpharma.am/wp-content/uploads/2019/11/ՀՀ-աշխատանքային-օրենսգիրք.pdf (accessed 18.09.2026).</w:t>
      </w:r>
    </w:p>
  </w:footnote>
  <w:footnote w:id="6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43, https://www.hcwpolicylab.org/wp-content/uploads/2024/03/Labour-Code-of-Armenia.pdf (accessed 18.09.2026).</w:t>
      </w:r>
    </w:p>
  </w:footnote>
  <w:footnote w:id="7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52, https://www.hcwpolicylab.org/wp-content/uploads/2024/03/Labour-Code-of-Armenia.pdf (accessed 18.09.2026).</w:t>
      </w:r>
    </w:p>
  </w:footnote>
  <w:footnote w:id="7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42, https://arpharma.am/wp-content/uploads/2019/11/ՀՀ-աշխատանքային-օրենսգիրք.pdf (accessed 18.09.2026).</w:t>
      </w:r>
    </w:p>
  </w:footnote>
  <w:footnote w:id="7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42, https://prwb.am/wp-content/uploads/2021/11/Աշխատանքային-իրավունք-հետազոտություն-ԻԶՊՀ.pdf (accessed 18.09.2026).</w:t>
      </w:r>
    </w:p>
  </w:footnote>
  <w:footnote w:id="7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42, https://www.hcwpolicylab.org/wp-content/uploads/2024/03/Labour-Code-of-Armenia.pdf (accessed 18.09.2026).</w:t>
      </w:r>
    </w:p>
  </w:footnote>
  <w:footnote w:id="7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53, https://www.hcwpolicylab.org/wp-content/uploads/2024/03/Labour-Code-of-Armenia.pdf (accessed 18.09.2026).</w:t>
      </w:r>
    </w:p>
  </w:footnote>
  <w:footnote w:id="7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page 64, https://www.venice.coe.int/webforms/documents/default.aspx?pdffile=CDL-REF(2021)026 (accessed 18.09.2026).</w:t>
      </w:r>
    </w:p>
  </w:footnote>
  <w:footnote w:id="7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44, https://arpharma.am/wp-content/uploads/2019/11/ՀՀ-աշխատանքային-օրենսգիրք.pdf (accessed 18.09.2026).</w:t>
      </w:r>
    </w:p>
  </w:footnote>
  <w:footnote w:id="7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57, https://www.hcwpolicylab.org/wp-content/uploads/2024/03/Labour-Code-of-Armenia.pdf (accessed 18.09.2026).</w:t>
      </w:r>
    </w:p>
  </w:footnote>
  <w:footnote w:id="7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Republic of Armenia, LABOR CODE OF THE REPUBLIC OF ARMENIA (Republic of Armenia, 2004), էջ 58, https://www.hcwpolicylab.org/wp-content/uploads/2024/03/Labour-Code-of-Armenia.pdf (accessed 18.09.2026).</w:t>
      </w:r>
    </w:p>
  </w:footnote>
  <w:footnote w:id="7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page 104, https://www.venice.coe.int/webforms/documents/default.aspx?pdffile=CDL-REF(2021)026 (accessed 18.09.2026).</w:t>
      </w:r>
    </w:p>
  </w:footnote>
  <w:footnote w:id="8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71, https://arpharma.am/wp-content/uploads/2019/11/ՀՀ-աշխատանքային-օրենսգիրք.pdf (accessed 18.09.2026).</w:t>
      </w:r>
    </w:p>
  </w:footnote>
  <w:footnote w:id="8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w:t>
      </w:r>
    </w:p>
  </w:footnote>
  <w:footnote w:id="8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71, https://arpharma.am/wp-content/uploads/2019/11/ՀՀ-աշխատանքային-օրենսգիրք.pdf (accessed 18.09.2026); ՀՀ կառավարություն, ԵՎՐՈՊԱԿԱՆ ՍՈՑԻԱԼԱԿԱՆ ԽԱՐՏԻԱ /ՎԵՐԱՆԱՅՎԱԾ/ Հայաստանի Հանրապետության զեկույց (ՀՀ կառավարություն, 2012), էջ 83, https://www.e-gov.am/u_files/file/decrees/arc_voroshum/2012/04/MAR14-5_1.pdf (accessed 18.09.2026).</w:t>
      </w:r>
    </w:p>
  </w:footnote>
  <w:footnote w:id="83">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page 104, https://www.venice.coe.int/webforms/documents/default.aspx?pdffile=CDL-REF(2021)026 (accessed 18.09.2026).</w:t>
      </w:r>
    </w:p>
  </w:footnote>
  <w:footnote w:id="84">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20, https://arpharma.am/wp-content/uploads/2019/11/ՀՀ-աշխատանքային-օրենսգիրք.pdf (accessed 18.09.2026).</w:t>
      </w:r>
    </w:p>
  </w:footnote>
  <w:footnote w:id="85">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EUROPEAN COMMISSION FOR DEMOCRACY THROUGH LAW (VENICE COMMISSION), "LABOUR CODE AS OF 17 JUNE 2016" (EUROPEAN COMMISSION FOR DEMOCRACY THROUGH LAW (VENICE COMMISSION), 2016), page 29, https://www.venice.coe.int/webforms/documents/default.aspx?pdffile=CDL-REF(2021)026 (accessed 18.09.2026).</w:t>
      </w:r>
    </w:p>
  </w:footnote>
  <w:footnote w:id="86">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20, https://arpharma.am/wp-content/uploads/2019/11/ՀՀ-աշխատանքային-օրենսգիրք.pdf (accessed 18.09.2026).</w:t>
      </w:r>
    </w:p>
  </w:footnote>
  <w:footnote w:id="87">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w:t>
      </w:r>
    </w:p>
  </w:footnote>
  <w:footnote w:id="88">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ՀՀ Ազգային ժողով, ՀԱՅԱՍՏԱՆԻ ՀԱՆՐԱՊԵՏՈՒԹՅԱՆ ԱՇԽԱՏԱՆՔԱՅԻՆ ՕՐԵՆՍԳԻՐՔ (ՀՀ Ազգային ժողով, 2004), էջ 22, https://arpharma.am/wp-content/uploads/2019/11/ՀՀ-աշխատանքային-օրենսգիրք.pdf (accessed 18.09.2026).</w:t>
      </w:r>
    </w:p>
  </w:footnote>
  <w:footnote w:id="89">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w:t>
      </w:r>
    </w:p>
  </w:footnote>
  <w:footnote w:id="90">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Նույն տեղում։</w:t>
      </w:r>
    </w:p>
  </w:footnote>
  <w:footnote w:id="91">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19, https://prwb.am/wp-content/uploads/2021/11/Աշխատանքային-իրավունք-հետազոտություն-ԻԶՊՀ.pdf (accessed 18.09.2026).</w:t>
      </w:r>
    </w:p>
  </w:footnote>
  <w:footnote w:id="92">
    <w:p>
      <w:pPr>
        <w:pStyle w:val="FootnoteText"/>
        <w:spacing w:after="0" w:line="240" w:lineRule="auto"/>
        <w:ind w:firstLine="0"/>
      </w:pPr>
      <w:r>
        <w:rPr>
          <w:rStyle w:val="FootnoteReference"/>
          <w:rFonts w:ascii="GHEA Grapalat" w:hAnsi="GHEA Grapalat" w:cs="GHEA Grapalat"/>
          <w:sz w:val="20"/>
          <w:szCs w:val="20"/>
        </w:rPr>
        <w:footnoteRef/>
      </w:r>
      <w:r>
        <w:rPr>
          <w:rFonts w:ascii="GHEA Grapalat" w:hAnsi="GHEA Grapalat" w:cs="GHEA Grapalat"/>
          <w:sz w:val="20"/>
          <w:szCs w:val="20"/>
        </w:rPr>
        <w:t xml:space="preserve"> Գյուրջյան, Դավիթ, Գենյա Պետրոսյան, Արաքս Մելքոնյան, Արթուր Սաքունց, Էլեն Մանասերյան, Վահրամ Թոքմաջյան, and Քրիստինա Մարգարյան, Աշխատանքային իրավահարաբերություններ և օրենսդրություն. խնդիրներ և լուծումներ (Իրավունքի զարգացման և պաշտպանության հիմնադրամ, 2021), էջ 20, https://prwb.am/wp-content/uploads/2021/11/Աշխատանքային-իրավունք-հետազոտություն-ԻԶՊՀ.pdf (accessed 18.09.2026).</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GHEA Grapalat" w:hAnsi="GHEA Grapalat" w:eastAsia="GHEA Grapalat" w:cs="GHEA Grapalat"/>
      <w:sz w:val="24"/>
      <w:lang w:val="hy-AM" w:bidi="hy-AM"/>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GHEA Grapalat" w:hAnsi="GHEA Grapalat" w:eastAsia="GHEA Grapalat" w:cs="GHEA Grapalat"/>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GHEA Grapalat" w:hAnsi="GHEA Grapalat" w:eastAsia="GHEA Grapalat" w:cs="GHEA Grapalat"/>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GHEA Grapalat" w:hAnsi="GHEA Grapalat" w:eastAsia="GHEA Grapalat" w:cs="GHEA Grapalat"/>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921" w:val="right" w:leader="dot"/>
      </w:tabs>
      <w:spacing w:after="80" w:before="40"/>
      <w:ind w:left="0" w:firstLine="0"/>
    </w:pPr>
    <w:rPr>
      <w:rFonts w:ascii="GHEA Grapalat" w:hAnsi="GHEA Grapalat"/>
      <w:b w:val="0"/>
      <w:sz w:val="24"/>
    </w:rPr>
  </w:style>
  <w:style w:type="paragraph" w:customStyle="1" w:styleId="TOC2">
    <w:name w:val="TOC 2"/>
    <w:pPr>
      <w:tabs>
        <w:tab w:pos="9354" w:val="right" w:leader="dot"/>
      </w:tabs>
      <w:spacing w:after="80" w:before="0"/>
      <w:ind w:left="567" w:firstLine="0"/>
    </w:pPr>
    <w:rPr>
      <w:rFonts w:ascii="GHEA Grapalat" w:hAnsi="GHEA Grapalat"/>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yperlink" Target="https://www.aeb.am/media/2019/07/2761.pdf" TargetMode="External"/><Relationship Id="rId11" Type="http://schemas.openxmlformats.org/officeDocument/2006/relationships/hyperlink" Target="https://prwb.am/wp-content/uploads/2021/11/&#1329;&#1399;&#1389;&#1377;&#1407;&#1377;&#1398;&#1412;&#1377;&#1397;&#1387;&#1398;-&#1387;&#1408;&#1377;&#1406;&#1400;&#1410;&#1398;&#1412;-&#1392;&#1381;&#1407;&#1377;&#1382;&#1400;&#1407;&#1400;&#1410;&#1385;&#1397;&#1400;&#1410;&#1398;-&#1339;&#1334;&#1354;&#1344;.pdf" TargetMode="External"/><Relationship Id="rId12" Type="http://schemas.openxmlformats.org/officeDocument/2006/relationships/hyperlink" Target="https://eur-lex.europa.eu/legal-content/EN/TXT/PDF/?uri=CELEX:52023SC0367" TargetMode="External"/><Relationship Id="rId13" Type="http://schemas.openxmlformats.org/officeDocument/2006/relationships/hyperlink" Target="https://www.venice.coe.int/webforms/documents/default.aspx?pdffile=CDL-REF(2021)026" TargetMode="External"/><Relationship Id="rId14" Type="http://schemas.openxmlformats.org/officeDocument/2006/relationships/hyperlink" Target="https://ejce.liuc.it/18242979201002/182429792010070208.pdf" TargetMode="External"/><Relationship Id="rId15" Type="http://schemas.openxmlformats.org/officeDocument/2006/relationships/hyperlink" Target="https://www.e-gov.am/u_files/file/kron/Armenian" TargetMode="External"/><Relationship Id="rId16" Type="http://schemas.openxmlformats.org/officeDocument/2006/relationships/hyperlink" Target="https://arpharma.am/wp-content/uploads/2019/11/&#1344;&#1344;-&#1377;&#1399;&#1389;&#1377;&#1407;&#1377;&#1398;&#1412;&#1377;&#1397;&#1387;&#1398;-&#1413;&#1408;&#1381;&#1398;&#1405;&#1379;&#1387;&#1408;&#1412;.pdf" TargetMode="External"/><Relationship Id="rId17" Type="http://schemas.openxmlformats.org/officeDocument/2006/relationships/hyperlink" Target="https://www.e-gov.am/u_files/file/decrees/arc_voroshum/2012/04/MAR14-5_1.pdf" TargetMode="External"/><Relationship Id="rId18" Type="http://schemas.openxmlformats.org/officeDocument/2006/relationships/hyperlink" Target="https://doi.org/10.59560/18291155-2025.4-76" TargetMode="External"/><Relationship Id="rId19" Type="http://schemas.openxmlformats.org/officeDocument/2006/relationships/hyperlink" Target="https://www.concourt.am/pdf/uploads/69e091d1349cd_Mikayel" TargetMode="External"/><Relationship Id="rId20" Type="http://schemas.openxmlformats.org/officeDocument/2006/relationships/hyperlink" Target="https://cepacso.am/storage/files/documents/2025-09-06/Full" TargetMode="External"/><Relationship Id="rId21" Type="http://schemas.openxmlformats.org/officeDocument/2006/relationships/hyperlink" Target="https://www.e-draft.am/ru/project/download/pdf?id=1745" TargetMode="External"/><Relationship Id="rId22" Type="http://schemas.openxmlformats.org/officeDocument/2006/relationships/hyperlink" Target="https://www.hcwpolicylab.org/wp-content/uploads/2024/03/Labour-Code-of-Armenia.pdf" TargetMode="External"/><Relationship Id="rId23" Type="http://schemas.openxmlformats.org/officeDocument/2006/relationships/hyperlink" Target="https://www.ilo.org/sites/default/files/2024-04/DWCP" TargetMode="External"/><Relationship Id="rId24" Type="http://schemas.openxmlformats.org/officeDocument/2006/relationships/hyperlink" Target="https://artsakhlib.am/wp-content/uploads/2020/05/&#1329;&#1398;&#1386;&#1381;&#1388;&#1377;-&#1359;&#1400;&#1398;&#1400;&#1397;&#1377;&#1398;-&#1329;&#1399;&#1389;&#1377;&#1407;&#1377;&#1398;&#1412;&#1377;&#1397;&#1387;&#1398;-&#1415;-&#1412;&#1377;&#1394;&#1377;&#1412;&#1377;&#1409;&#1387;&#1377;&#1387;&#1408;&#1377;&#1406;&#1377;&#1391;&#1377;&#1398;-&#1402;&#1377;&#1397;&#1396;&#1377;&#1398;&#1377;&#1379;&#1408;&#1381;&#1408;&#1387;-&#1392;&#1377;&#1408;&#1377;&#1378;&#1381;&#1408;&#1377;&#1391;&#1409;&#1400;&#1410;&#1385;&#1397;&#1400;&#1410;&#1398;&#1384;-&#1344;&#1344;-&#1400;&#1410;&#1396;.pdf"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