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GHEA Grapalat" w:hAnsi="GHEA Grapalat"/>
          <w:b/>
          <w:sz w:val="32"/>
        </w:rPr>
        <w:t>«Փոքր և միջին ձեռնարկատիրության ֆինանսավորումը Հայաստանի Հանրապետությունում»</w:t>
      </w:r>
    </w:p>
    <w:p>
      <w:pPr>
        <w:spacing w:before="120" w:after="120"/>
        <w:ind w:firstLine="0"/>
        <w:jc w:val="center"/>
      </w:pPr>
    </w:p>
    <w:p>
      <w:pPr>
        <w:spacing w:before="120" w:after="120"/>
        <w:ind w:firstLine="0"/>
        <w:jc w:val="center"/>
      </w:pPr>
    </w:p>
    <w:p>
      <w:pPr>
        <w:spacing w:before="80" w:after="80"/>
        <w:ind w:firstLine="0"/>
        <w:jc w:val="center"/>
      </w:pPr>
      <w:r>
        <w:rPr>
          <w:rFonts w:ascii="GHEA Grapalat" w:hAnsi="GHEA Grapalat"/>
          <w:b w:val="0"/>
          <w:sz w:val="28"/>
        </w:rPr>
        <w:t>Ուսանող՝ [Անուն Ազգանուն]</w:t>
      </w:r>
    </w:p>
    <w:p>
      <w:pPr>
        <w:spacing w:before="80" w:after="80"/>
        <w:ind w:firstLine="0"/>
        <w:jc w:val="center"/>
      </w:pPr>
    </w:p>
    <w:p>
      <w:pPr>
        <w:spacing w:before="120" w:after="120"/>
        <w:ind w:firstLine="0"/>
        <w:jc w:val="center"/>
      </w:pPr>
    </w:p>
    <w:p>
      <w:pPr>
        <w:spacing w:before="80" w:after="80"/>
        <w:ind w:firstLine="0"/>
        <w:jc w:val="center"/>
      </w:pPr>
      <w:r>
        <w:rPr>
          <w:rFonts w:ascii="GHEA Grapalat" w:hAnsi="GHEA Grapalat"/>
          <w:b w:val="0"/>
          <w:sz w:val="24"/>
        </w:rPr>
        <w:t>Գիտական ղեկավար՝ [գիտական աստիճան, կոչում, Անուն Ազգանուն]</w:t>
      </w:r>
    </w:p>
    <w:p>
      <w:pPr>
        <w:spacing w:before="120" w:after="120"/>
        <w:ind w:firstLine="0"/>
        <w:jc w:val="center"/>
      </w:pPr>
    </w:p>
    <w:p>
      <w:pPr>
        <w:spacing w:before="120" w:after="120"/>
        <w:ind w:firstLine="0"/>
        <w:jc w:val="center"/>
      </w:pPr>
    </w:p>
    <w:p>
      <w:pPr>
        <w:spacing w:before="80" w:after="80"/>
        <w:ind w:firstLine="0"/>
        <w:jc w:val="center"/>
      </w:pPr>
      <w:r>
        <w:rPr>
          <w:rFonts w:ascii="GHEA Grapalat" w:hAnsi="GHEA Grapalat"/>
          <w:b w:val="0"/>
          <w:sz w:val="24"/>
        </w:rPr>
        <w:t>2026</w:t>
      </w:r>
    </w:p>
    <w:p>
      <w:pPr>
        <w:pageBreakBefore/>
        <w:spacing w:after="240"/>
        <w:ind w:firstLine="0" w:left="0"/>
        <w:jc w:val="center"/>
      </w:pPr>
      <w:r>
        <w:rPr>
          <w:rFonts w:ascii="GHEA Grapalat" w:hAnsi="GHEA Grapalat"/>
          <w:b/>
          <w:sz w:val="28"/>
        </w:rPr>
        <w:t>Բովանդակություն</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GHEA Grapalat" w:hAnsi="GHEA Grapalat"/>
          <w:sz w:val="24"/>
        </w:rPr>
        <w:t>Ամփոփագիր</w:t>
      </w:r>
      <w:r>
        <w:fldChar w:fldCharType="end"/>
      </w:r>
      <w:r>
        <w:rPr>
          <w:rFonts w:ascii="GHEA Grapalat" w:hAnsi="GHEA Grapalat"/>
          <w:sz w:val="24"/>
        </w:rPr>
        <w:tab/>
      </w:r>
      <w:r>
        <w:fldChar w:fldCharType="begin" w:dirty="true"/>
      </w:r>
      <w:r>
        <w:instrText xml:space="preserve"> PAGEREF _Toc_heading_0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"_Toc_heading_1" </w:instrText>
      </w:r>
      <w:r>
        <w:fldChar w:fldCharType="separate"/>
      </w:r>
      <w:r>
        <w:rPr>
          <w:rFonts w:ascii="GHEA Grapalat" w:hAnsi="GHEA Grapalat"/>
          <w:sz w:val="24"/>
        </w:rPr>
        <w:t>Ներածություն</w:t>
      </w:r>
      <w:r>
        <w:fldChar w:fldCharType="end"/>
      </w:r>
      <w:r>
        <w:rPr>
          <w:rFonts w:ascii="GHEA Grapalat" w:hAnsi="GHEA Grapalat"/>
          <w:sz w:val="24"/>
        </w:rPr>
        <w:tab/>
      </w:r>
      <w:r>
        <w:fldChar w:fldCharType="begin" w:dirty="true"/>
      </w:r>
      <w:r>
        <w:instrText xml:space="preserve"> PAGEREF _Toc_heading_1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"_Toc_heading_2" </w:instrText>
      </w:r>
      <w:r>
        <w:fldChar w:fldCharType="separate"/>
      </w:r>
      <w:r>
        <w:rPr>
          <w:rFonts w:ascii="GHEA Grapalat" w:hAnsi="GHEA Grapalat"/>
          <w:sz w:val="24"/>
        </w:rPr>
        <w:t>ԳԼՈՒԽ 1. ՓՄՁ-ՆԵՐԻ ՖԻՆԱՆՍԱՎՈՐՄԱՆ ՏԵՍԱՄԵԹՈԴԱԲԱՆԱԿԱՆ ՀԻՄՈՒՆՔՆԵՐԸ</w:t>
      </w:r>
      <w:r>
        <w:fldChar w:fldCharType="end"/>
      </w:r>
      <w:r>
        <w:rPr>
          <w:rFonts w:ascii="GHEA Grapalat" w:hAnsi="GHEA Grapalat"/>
          <w:sz w:val="24"/>
        </w:rPr>
        <w:tab/>
      </w:r>
      <w:r>
        <w:fldChar w:fldCharType="begin" w:dirty="true"/>
      </w:r>
      <w:r>
        <w:instrText xml:space="preserve"> PAGEREF _Toc_heading_2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"_Toc_heading_3" </w:instrText>
      </w:r>
      <w:r>
        <w:fldChar w:fldCharType="separate"/>
      </w:r>
      <w:r>
        <w:rPr>
          <w:rFonts w:ascii="GHEA Grapalat" w:hAnsi="GHEA Grapalat"/>
          <w:sz w:val="24"/>
        </w:rPr>
        <w:t>1.1. Փոքր և միջին ձեռնարկատիրության էությունը, դասակարգումը և դերը տնտեսության զարգացման գործում</w:t>
      </w:r>
      <w:r>
        <w:fldChar w:fldCharType="end"/>
      </w:r>
      <w:r>
        <w:rPr>
          <w:rFonts w:ascii="GHEA Grapalat" w:hAnsi="GHEA Grapalat"/>
          <w:sz w:val="24"/>
        </w:rPr>
        <w:tab/>
      </w:r>
      <w:r>
        <w:fldChar w:fldCharType="begin" w:dirty="true"/>
      </w:r>
      <w:r>
        <w:instrText xml:space="preserve"> PAGEREF _Toc_heading_3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"_Toc_heading_4" </w:instrText>
      </w:r>
      <w:r>
        <w:fldChar w:fldCharType="separate"/>
      </w:r>
      <w:r>
        <w:rPr>
          <w:rFonts w:ascii="GHEA Grapalat" w:hAnsi="GHEA Grapalat"/>
          <w:sz w:val="24"/>
        </w:rPr>
        <w:t>1.2. ՓՄՁ-ների ֆինանսավորման աղբյուրները և դրանց առանձնահատկությունները</w:t>
      </w:r>
      <w:r>
        <w:fldChar w:fldCharType="end"/>
      </w:r>
      <w:r>
        <w:rPr>
          <w:rFonts w:ascii="GHEA Grapalat" w:hAnsi="GHEA Grapalat"/>
          <w:sz w:val="24"/>
        </w:rPr>
        <w:tab/>
      </w:r>
      <w:r>
        <w:fldChar w:fldCharType="begin" w:dirty="true"/>
      </w:r>
      <w:r>
        <w:instrText xml:space="preserve"> PAGEREF _Toc_heading_4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"_Toc_heading_5" </w:instrText>
      </w:r>
      <w:r>
        <w:fldChar w:fldCharType="separate"/>
      </w:r>
      <w:r>
        <w:rPr>
          <w:rFonts w:ascii="GHEA Grapalat" w:hAnsi="GHEA Grapalat"/>
          <w:sz w:val="24"/>
        </w:rPr>
        <w:t>1.3. Ֆինանսավորման մոդելների և գործիքների տեսական վերլուծություն</w:t>
      </w:r>
      <w:r>
        <w:fldChar w:fldCharType="end"/>
      </w:r>
      <w:r>
        <w:rPr>
          <w:rFonts w:ascii="GHEA Grapalat" w:hAnsi="GHEA Grapalat"/>
          <w:sz w:val="24"/>
        </w:rPr>
        <w:tab/>
      </w:r>
      <w:r>
        <w:fldChar w:fldCharType="begin" w:dirty="true"/>
      </w:r>
      <w:r>
        <w:instrText xml:space="preserve"> PAGEREF _Toc_heading_5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"_Toc_heading_6" </w:instrText>
      </w:r>
      <w:r>
        <w:fldChar w:fldCharType="separate"/>
      </w:r>
      <w:r>
        <w:rPr>
          <w:rFonts w:ascii="GHEA Grapalat" w:hAnsi="GHEA Grapalat"/>
          <w:sz w:val="24"/>
        </w:rPr>
        <w:t>ԳԼՈՒԽ 2. ՓՄՁ-ՆԵՐԻ ՖԻՆԱՆՍԱՎՈՐՄԱՆ ԱՌԿԱ ՎԻՃԱԿԻ ՎԵՐԼՈՒԾՈՒԹՅՈՒՆԸ ՀՀ-ՈՒՄ</w:t>
      </w:r>
      <w:r>
        <w:fldChar w:fldCharType="end"/>
      </w:r>
      <w:r>
        <w:rPr>
          <w:rFonts w:ascii="GHEA Grapalat" w:hAnsi="GHEA Grapalat"/>
          <w:sz w:val="24"/>
        </w:rPr>
        <w:tab/>
      </w:r>
      <w:r>
        <w:fldChar w:fldCharType="begin" w:dirty="true"/>
      </w:r>
      <w:r>
        <w:instrText xml:space="preserve"> PAGEREF _Toc_heading_6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"_Toc_heading_7" </w:instrText>
      </w:r>
      <w:r>
        <w:fldChar w:fldCharType="separate"/>
      </w:r>
      <w:r>
        <w:rPr>
          <w:rFonts w:ascii="GHEA Grapalat" w:hAnsi="GHEA Grapalat"/>
          <w:sz w:val="24"/>
        </w:rPr>
        <w:t>2.1. ՀՀ-ում ՓՄՁ-ների ֆինանսավորման ենթակառուցվածքը և պետական աջակցության ծրագրերը</w:t>
      </w:r>
      <w:r>
        <w:fldChar w:fldCharType="end"/>
      </w:r>
      <w:r>
        <w:rPr>
          <w:rFonts w:ascii="GHEA Grapalat" w:hAnsi="GHEA Grapalat"/>
          <w:sz w:val="24"/>
        </w:rPr>
        <w:tab/>
      </w:r>
      <w:r>
        <w:fldChar w:fldCharType="begin" w:dirty="true"/>
      </w:r>
      <w:r>
        <w:instrText xml:space="preserve"> PAGEREF _Toc_heading_7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"_Toc_heading_8" </w:instrText>
      </w:r>
      <w:r>
        <w:fldChar w:fldCharType="separate"/>
      </w:r>
      <w:r>
        <w:rPr>
          <w:rFonts w:ascii="GHEA Grapalat" w:hAnsi="GHEA Grapalat"/>
          <w:sz w:val="24"/>
        </w:rPr>
        <w:t>2.2. Առևտրային բանկերի դերը ՓՄՁ-ների վարկավորման գործընթացում</w:t>
      </w:r>
      <w:r>
        <w:fldChar w:fldCharType="end"/>
      </w:r>
      <w:r>
        <w:rPr>
          <w:rFonts w:ascii="GHEA Grapalat" w:hAnsi="GHEA Grapalat"/>
          <w:sz w:val="24"/>
        </w:rPr>
        <w:tab/>
      </w:r>
      <w:r>
        <w:fldChar w:fldCharType="begin" w:dirty="true"/>
      </w:r>
      <w:r>
        <w:instrText xml:space="preserve"> PAGEREF _Toc_heading_8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"_Toc_heading_9" </w:instrText>
      </w:r>
      <w:r>
        <w:fldChar w:fldCharType="separate"/>
      </w:r>
      <w:r>
        <w:rPr>
          <w:rFonts w:ascii="GHEA Grapalat" w:hAnsi="GHEA Grapalat"/>
          <w:sz w:val="24"/>
        </w:rPr>
        <w:t>2.3. Ֆինանսավորման այլընտրանքային գործիքների (լիզինգ, վենչուրային կապիտալ, քրաուդֆանդինգ) կիրառումը Հայաստանում</w:t>
      </w:r>
      <w:r>
        <w:fldChar w:fldCharType="end"/>
      </w:r>
      <w:r>
        <w:rPr>
          <w:rFonts w:ascii="GHEA Grapalat" w:hAnsi="GHEA Grapalat"/>
          <w:sz w:val="24"/>
        </w:rPr>
        <w:tab/>
      </w:r>
      <w:r>
        <w:fldChar w:fldCharType="begin" w:dirty="true"/>
      </w:r>
      <w:r>
        <w:instrText xml:space="preserve"> PAGEREF _Toc_heading_9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"_Toc_heading_10" </w:instrText>
      </w:r>
      <w:r>
        <w:fldChar w:fldCharType="separate"/>
      </w:r>
      <w:r>
        <w:rPr>
          <w:rFonts w:ascii="GHEA Grapalat" w:hAnsi="GHEA Grapalat"/>
          <w:sz w:val="24"/>
        </w:rPr>
        <w:t>ԳԼՈՒԽ 3. ՀՀ-ՈՒՄ ՓՄՁ-ՆԵՐԻ ՖԻՆԱՆՍԱՎՈՐՄԱՆ ԽՆԴԻՐՆԵՐԸ ԵՎ ԶԱՐԳԱՑՄԱՆ ՀԵՌԱՆԿԱՐՆԵՐԸ</w:t>
      </w:r>
      <w:r>
        <w:fldChar w:fldCharType="end"/>
      </w:r>
      <w:r>
        <w:rPr>
          <w:rFonts w:ascii="GHEA Grapalat" w:hAnsi="GHEA Grapalat"/>
          <w:sz w:val="24"/>
        </w:rPr>
        <w:tab/>
      </w:r>
      <w:r>
        <w:fldChar w:fldCharType="begin" w:dirty="true"/>
      </w:r>
      <w:r>
        <w:instrText xml:space="preserve"> PAGEREF _Toc_heading_10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"_Toc_heading_11" </w:instrText>
      </w:r>
      <w:r>
        <w:fldChar w:fldCharType="separate"/>
      </w:r>
      <w:r>
        <w:rPr>
          <w:rFonts w:ascii="GHEA Grapalat" w:hAnsi="GHEA Grapalat"/>
          <w:sz w:val="24"/>
        </w:rPr>
        <w:t>3.1. ՓՄՁ-ների ֆինանսավորման հասանելիության հիմնախնդիրները Հայաստանում</w:t>
      </w:r>
      <w:r>
        <w:fldChar w:fldCharType="end"/>
      </w:r>
      <w:r>
        <w:rPr>
          <w:rFonts w:ascii="GHEA Grapalat" w:hAnsi="GHEA Grapalat"/>
          <w:sz w:val="24"/>
        </w:rPr>
        <w:tab/>
      </w:r>
      <w:r>
        <w:fldChar w:fldCharType="begin" w:dirty="true"/>
      </w:r>
      <w:r>
        <w:instrText xml:space="preserve"> PAGEREF _Toc_heading_11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"_Toc_heading_12" </w:instrText>
      </w:r>
      <w:r>
        <w:fldChar w:fldCharType="separate"/>
      </w:r>
      <w:r>
        <w:rPr>
          <w:rFonts w:ascii="GHEA Grapalat" w:hAnsi="GHEA Grapalat"/>
          <w:sz w:val="24"/>
        </w:rPr>
        <w:t>3.2. Ֆինանսավորման գործիքների կատարելագործման և շուկայի զարգացման ուղիները</w:t>
      </w:r>
      <w:r>
        <w:fldChar w:fldCharType="end"/>
      </w:r>
      <w:r>
        <w:rPr>
          <w:rFonts w:ascii="GHEA Grapalat" w:hAnsi="GHEA Grapalat"/>
          <w:sz w:val="24"/>
        </w:rPr>
        <w:tab/>
      </w:r>
      <w:r>
        <w:fldChar w:fldCharType="begin" w:dirty="true"/>
      </w:r>
      <w:r>
        <w:instrText xml:space="preserve"> PAGEREF _Toc_heading_12 \h </w:instrText>
      </w:r>
      <w:r>
        <w:fldChar w:fldCharType="separate"/>
      </w:r>
      <w:r>
        <w:rPr>
          <w:rFonts w:ascii="GHEA Grapalat" w:hAnsi="GHEA Grapalat"/>
          <w:sz w:val="24"/>
        </w:rPr>
        <w:t>1</w:t>
      </w:r>
      <w:r>
        <w:fldChar w:fldCharType="end"/>
      </w:r>
    </w:p>
    <w:p>
      <w:pPr>
        <w:pStyle w:val="TOC2"/>
        <w:ind w:firstLine="0" w:left="567"/>
      </w:pPr>
      <w:r>
        <w:fldChar w:fldCharType="begin"/>
      </w:r>
      <w:r>
        <w:instrText xml:space="preserve"> HYPERLINK \l "_Toc_heading_13" </w:instrText>
      </w:r>
      <w:r>
        <w:fldChar w:fldCharType="separate"/>
      </w:r>
      <w:r>
        <w:rPr>
          <w:rFonts w:ascii="GHEA Grapalat" w:hAnsi="GHEA Grapalat"/>
          <w:sz w:val="24"/>
        </w:rPr>
        <w:t>3.3. Միջազգային փորձի կիրառման հնարավորությունները ՀՀ ՓՄՁ ֆինանսավորման համակարգի բարելավման համար</w:t>
      </w:r>
      <w:r>
        <w:fldChar w:fldCharType="end"/>
      </w:r>
      <w:r>
        <w:rPr>
          <w:rFonts w:ascii="GHEA Grapalat" w:hAnsi="GHEA Grapalat"/>
          <w:sz w:val="24"/>
        </w:rPr>
        <w:tab/>
      </w:r>
      <w:r>
        <w:fldChar w:fldCharType="begin" w:dirty="true"/>
      </w:r>
      <w:r>
        <w:instrText xml:space="preserve"> PAGEREF _Toc_heading_13 \h </w:instrText>
      </w:r>
      <w:r>
        <w:fldChar w:fldCharType="separate"/>
      </w:r>
      <w:r>
        <w:rPr>
          <w:rFonts w:ascii="GHEA Grapalat" w:hAnsi="GHEA Grapalat"/>
          <w:sz w:val="24"/>
        </w:rPr>
        <w:t>1</w:t>
      </w:r>
      <w:r>
        <w:fldChar w:fldCharType="end"/>
      </w:r>
    </w:p>
    <w:p>
      <w:pPr>
        <w:pStyle w:val="TOC1"/>
        <w:ind w:firstLine="0" w:left="0"/>
      </w:pPr>
      <w:r>
        <w:fldChar w:fldCharType="begin"/>
      </w:r>
      <w:r>
        <w:instrText xml:space="preserve"> HYPERLINK \l "_Toc_heading_14" </w:instrText>
      </w:r>
      <w:r>
        <w:fldChar w:fldCharType="separate"/>
      </w:r>
      <w:r>
        <w:rPr>
          <w:rFonts w:ascii="GHEA Grapalat" w:hAnsi="GHEA Grapalat"/>
          <w:sz w:val="24"/>
        </w:rPr>
        <w:t>Եզրակացություններ և առաջարկություններ</w:t>
      </w:r>
      <w:r>
        <w:fldChar w:fldCharType="end"/>
      </w:r>
      <w:r>
        <w:rPr>
          <w:rFonts w:ascii="GHEA Grapalat" w:hAnsi="GHEA Grapalat"/>
          <w:sz w:val="24"/>
        </w:rPr>
        <w:tab/>
      </w:r>
      <w:r>
        <w:fldChar w:fldCharType="begin" w:dirty="true"/>
      </w:r>
      <w:r>
        <w:instrText xml:space="preserve"> PAGEREF _Toc_heading_14 \h </w:instrText>
      </w:r>
      <w:r>
        <w:fldChar w:fldCharType="separate"/>
      </w:r>
      <w:r>
        <w:rPr>
          <w:rFonts w:ascii="GHEA Grapalat" w:hAnsi="GHEA Grapalat"/>
          <w:sz w:val="24"/>
        </w:rPr>
        <w:t>1</w:t>
      </w:r>
      <w:r>
        <w:fldChar w:fldCharType="end"/>
      </w:r>
    </w:p>
    <w:p>
      <w:pPr>
        <w:spacing w:after="0"/>
        <w:ind w:firstLine="0" w:left="0"/>
      </w:pPr>
      <w:r>
        <w:fldChar w:fldCharType="end"/>
      </w:r>
    </w:p>
    <w:p>
      <w:r>
        <w:br w:type="page"/>
      </w:r>
    </w:p>
    <w:p>
      <w:pPr>
        <w:pStyle w:val="Heading1"/>
      </w:pPr>
      <w:bookmarkStart w:id="100" w:name="_Toc_heading_0"/>
      <w:r>
        <w:t>Ամփոփագիր</w:t>
      </w:r>
      <w:bookmarkEnd w:id="100"/>
    </w:p>
    <w:p>
      <w:r>
        <w:t>Փոքր և միջին ձեռնարկատիրությունը (ՓՄՁ) Հայաստանի տնտեսության կարևորագույն շարժիչ ուժն է՝ աճի, զբաղվածության ապահովման և նորարարությունների խթանման մեծ ներուժով։ Սակայն այս ներուժի իրացման գլխավոր խոչընդոտը ֆինանսական ռեսուրսների սահմանափակ հասանելիությունն է, ինչով էլ պայմանավորված է սույն մագիստրոսական թեզի արդիականությունը։</w:t>
      </w:r>
    </w:p>
    <w:p>
      <w:r>
        <w:t>Աշխատանքի նպատակն է համակողմանիորեն ուսումնասիրել ՀՀ-ում ՓՄՁ ֆինանսավորման համակարգը, բացահայտել դրա զարգացմանը խոչընդոտող համակարգային հիմնախնդիրները և միջազգային փորձի հիման վրա մշակել դրանց լուծման գործնական առաջարկություններ։ Այդ նպատակով ուսումնասիրվել են ֆինանսավորման տեսական մոդելները և վերլուծվել է Հայաստանի ֆինանսական ենթակառուցվածքը՝ ներառյալ պետական աջակցության ծրագրերը, առևտրային բանկերի դերը և այլընտրանքային գործիքների զարգացման ներկա վիճակը։</w:t>
      </w:r>
    </w:p>
    <w:p>
      <w:r>
        <w:t>Հետազոտության արդյունքում պարզվել է, որ ՀՀ ՓՄՁ ֆինանսավորման համակարգը խիստ բանկակենտրոն է։ Ֆինանսների հասանելիությունը սահմանափակվում է վարկերի բարձր արժեքով, մարման կարճ ժամկետներով և, հատկապես, գրավի խիստ պահանջներով։ Այս խնդիրների հիմքում ընկած են ավելի խորքային պատճառներ՝ տեղեկատվական անհամաչափություն, ՓՄՁ-ների ցածր ֆինանսական թափանցիկություն և ֆինանսավորման այլընտրանքային շուկաների թերզարգացվածություն։</w:t>
      </w:r>
    </w:p>
    <w:p>
      <w:r>
        <w:t>Որպես լուծում՝ աշխատանքում առաջարկվում է իրականացնել համալիր միջոցառումներ, որոնք ներառում են վարկային երաշխավորությունների պետական համակարգի ընդլայնում, լիզինգի և ֆակտորինգի համար իրավահարկային դաշտի բարելավում, ինչպես նաև ՓՄՁ-ների ֆինանսական գրագիտության բարձրացում և կորպորատիվ թափանցիկության խթանում։ Այս քայլերը թույլ կտան դիվերսիֆիկացնել ֆինանսավորման աղբյուրները՝ նպաստելով ՓՄՁ ոլորտի կայուն զարգացմանը և երկրի տնտեսության մրցունակության բարձրացմանը։</w:t>
      </w:r>
    </w:p>
    <w:p>
      <w:r>
        <w:br w:type="page"/>
      </w:r>
    </w:p>
    <w:p>
      <w:pPr>
        <w:pStyle w:val="Heading1"/>
      </w:pPr>
      <w:bookmarkStart w:id="101" w:name="_Toc_heading_1"/>
      <w:r>
        <w:t>Ներածություն</w:t>
      </w:r>
      <w:bookmarkEnd w:id="101"/>
    </w:p>
    <w:p>
      <w:r>
        <w:t>Փոքր և միջին ձեռնարկատիրությունը (ՓՄՁ) ցանկացած երկրի տնտեսության կայունության և զարգացման հիմնասյուներից է։ Այն ոչ միայն ապահովում է զբաղվածության զգալի մասը և նպաստում համախառն ներքին արդյունքի (ՀՆԱ) աճին, այլև խթանում է մրցակցությունը, նորարարությունը և տնտեսության ճկունությունը [3, էջ 99]։ Հայաստանի Հանրապետության համար ՓՄՁ ոլորտի զարգացումը ռազմավարական նշանակություն ունի և տնտեսական աճի, սոցիալական խնդիրների մեղմման ու տարածքային համաչափ զարգացման կարևորագույն գրավականն է [2, էջ 41]։</w:t>
      </w:r>
    </w:p>
    <w:p>
      <w:r>
        <w:t>Վերջին տարիներին Հայաստանում ՓՄՁ ոլորտը ցուցաբերել է աճի դրական դինամիկա։ Եթե 2018 թվականին երկրում գործում էր 68 780 ՓՄՁ սուբյեկտ, ապա 2023 թվականին նրանց թիվը հասել է 109 592-ի՝ գրանցելով շուրջ 59 % աճ։ Միևնույն ժամանակ, ՓՄՁ-ների տեսակարար կշիռը ՀՆԱ-ում 2019 թվականի 26 %-ից 2023-ին հասել է 31,6 %-ի [5, էջ 36]։ Այս ցուցանիշները վկայում են ոլորտի աճող դերի մասին, սակայն, չնայած գրանցված առաջընթացին, դրա ներուժը դեռևս լիովին իրացված չէ։ Հայաստանում ՓՄՁ-ների արտադրողականությունը շարունակում է զգալիորեն զիջել զարգացած երկրների համանման ցուցանիշներին, իսկ նրանց մասնաբաժինը ՀՆԱ-ում դեռևս ցածր է եվրոպական երկրների միջինից [37, 4]։</w:t>
      </w:r>
    </w:p>
    <w:p>
      <w:r>
        <w:t>Այս ներուժի իրացմանը խոչընդոտող հիմնական մարտահրավերը, ինչպես բազմիցս փաստել են միջազգային կազմակերպությունների և տեղական փորձագետների հետազոտությունները, ֆինանսական ռեսուրսների սահմանափակ հասանելիությունն է։ Համաշխարհային մրցունակության զեկույցի համաձայն՝ ֆինանսավորման հասանելիությունը Հայաստանում բիզնեսի վարման թիվ մեկ խոչընդոտն է [1, էջ 122]։ Նմանատիպ եզրահանգման են գալիս նաև այլ ուսումնասիրություններ՝ ընդգծելով, որ սա ոլորտի զարգացման ամենասուր խնդիրն է [14, էջ 259]։</w:t>
      </w:r>
    </w:p>
    <w:p>
      <w:r>
        <w:t>Խնդիրը համալիր բնույթ ունի և պայմանավորված է մի քանի գործոններով։ Առաջին հերթին, դա բանկային վարկերի բարձր արժեքն է, որն արտահայտվում է բարձր տոկոսադրույքներով (հատկապես ազգային արժույթով վարկերի դեպքում), մարման կարճ ժամկետներով և վարկավորման բարդ ընթացակարգերով [24, 1]։ Երկրորդ, և թերևս ամենալուրջ, խոչընդոտը գրավի խիստ պահանջներն են։ Բանկերը, ռիսկերը նվազեցնելու նպատակով, հաճախ պահանջում են 100 %-ը գերազանցող գրավային ապահովում՝ գերադասելով անշարժ գույքը, ինչը շատ, հատկապես սկսնակ և գյուղական վայրերում գործող, ՓՄՁ-ների համար անհաղթահարելի արգելք է դառնում [17, էջ 40]։ Այս պայմանները հանգեցնում են նրան, որ ՓՄՁ-ների մի զգալի հատված պարզապես խուսափում է վարկի համար դիմելուց [1, էջ 122]։</w:t>
      </w:r>
    </w:p>
    <w:p>
      <w:r>
        <w:t>Խնդիրը խորացնում են նաև տեղեկատվական անհամաչափությունը, ՓՄՁ-ների ֆինանսական ցածր թափանցիկությունը, ինչպես նաև ձեռնարկատերերի ֆինանսական ոչ բավարար գրագիտությունը [38, 1]։ Իրավիճակը բարդացնում է նաև ֆինանսավորման այլընտրանքային՝ ոչ բանկային գործիքների (լիզինգ, վենչուրային կապիտալ, ֆակտորինգ) թերզարգացվածությունը, ինչը ՓՄՁ-ներին գրեթե զրկում է ընտրության հնարավորությունից և մեծացնում կախվածությունը բանկային համակարգից [15, 38]։</w:t>
      </w:r>
    </w:p>
    <w:p>
      <w:r>
        <w:t>ՀՀ կառավարությունը տարիներ շարունակ իրականացրել է աջակցության տարբեր ծրագրեր՝ ի դեմս «Հայաստանի փոքր և միջին ձեռնարկատիրության զարգացման ազգային կենտրոն» հիմնադրամի (ՓՄՁ ԶԱԿ) և այլ կառույցների, որոնք ներառել են վարկային երաշխավորություններ, սուբսիդավորվող վարկեր, դրամաշնորհներ, ինչպես նաև խորհրդատվական և ուսուցողական ծառայություններ [14, էջ 256-257]։ Այս քաղաքականությունը շարունակական է, ինչի մասին է վկայում «Փոքր և միջին ձեռնարկատիրության զարգացման 2020–2024 թվականների ռազմավարության» ընդունումը [5, էջ 1]։ Այնուամենայնիվ, այս ծրագրերի արդյունավետությունը հաճախ սահմանափակվել է ֆինանսավորման անբավարարությամբ և անկայունությամբ [14, էջ 258]։</w:t>
      </w:r>
    </w:p>
    <w:p>
      <w:r>
        <w:t>Վերոնշյալ հիմնախնդիրները, ինչպես նաև վերջին տարիների ցնցումները, մասնավորապես COVID-19 համավարակի և 2020 թվականի պատերազմի տնտեսական հետևանքները, որոնք առավել ծանր հարված են հասցրել հենց ՓՄՁ ոլորտին [35, էջ 13], առավել քան արդիական են դարձնում Հայաստանում ՓՄՁ ֆինանսավորման համակարգի խորքային և համակողմանի ուսումնասիրությունը։ Այսօր, երբ երկրի տնտեսությունը կանգնած է նոր մարտահրավերների և վերականգնման անհրաժեշտության առջև, ֆինանսավորման գործուն և մատչելի մեխանիզմների ստեղծումը ՓՄՁ-ների համար դառնում է ոչ միայն տնտեսական աճի, այլև տնտեսական անվտանգության հրամայական։</w:t>
      </w:r>
    </w:p>
    <w:p>
      <w:r>
        <w:t>Այսպիսով, սույն հետազոտության արդիականությունը պայմանավորված է ՀՀ տնտեսության զարգացման գործում ՓՄՁ-ների առանցքային դերով, ֆինանսավորման հասանելիության ոլորտում առկա խորքային ու համակարգային խնդիրներով և դրանց լուծմանն ուղղված արդյունավետ ուղիների որոնման հրատապ անհրաժեշտությամբ։</w:t>
      </w:r>
    </w:p>
    <w:p>
      <w:r>
        <w:t>Սույն աշխատանքի նպատակն է համակողմանիորեն ուսումնասիրել ՀՀ-ում փոքր և միջին ձեռնարկատիրության ֆինանսավորման առկա համակարգը, բացահայտել դրա զարգացմանը խոչընդոտող հիմնախնդիրները և մշակել դրանց լուծմանն ուղղված գործնական առաջարկություններ։ Նշված նպատակին հասնելու համար անհրաժեշտ է լուծել մի շարք հետազոտական խնդիրներ։ Նախատեսվում է ուսումնասիրել ՓՄՁ-ների ֆինանսավորման տեսական հիմունքները, հիմնական աղբյուրներն ու դրանց առանձնահատկությունները։ Աշխատանքում կվերլուծվի ՀՀ-ում ՓՄՁ-ների ֆինանսավորման ենթակառուցվածքը՝ մասնավորապես առևտրային բանկերի դերը, պետական աջակցության ծրագրերը և այլընտրանքային գործիքների ներկա վիճակը։ Կհամակարգվեն և խորապես կքննվեն ֆինանսական ռեսուրսների հասանելիության հիմնախնդիրները։ Բացի այդ, կուսումնասիրվի ֆինանսավորման գործիքների կատարելագործման միջազգային փորձը՝ գնահատելով դրա կիրառելիությունը Հայաստանում։ Վերջում կհիմնավորվեն ՓՄՁ ֆինանսավորման համակարգի բարելավմանը, գործիքների դիվերսիֆիկացմանը և ռեսուրսների հասանելիության ընդլայնմանն ուղղված կոնկրետ առաջարկություններ։</w:t>
      </w:r>
    </w:p>
    <w:p>
      <w:r>
        <w:t>Հետազոտության օբյեկտը Հայաստանի Հանրապետության փոքր և միջին ձեռնարկատիրության ֆինանսավորման համակարգն է։ Հետազոտության առարկան ՀՀ-ում ՓՄՁ-ների ֆինանսավորման գործիքակազմի, մեխանիզմների, առկա հիմնախնդիրների և դրանց լուծման ուղիների համալիր ուսումնասիրությունն է։</w:t>
      </w:r>
    </w:p>
    <w:p>
      <w:r>
        <w:t>Աշխատանքը բաղկացած է ներածությունից, երեք գլուխներից, եզրակացությունից և օգտագործված գրականության ցանկից։ Առաջին գլխում ներկայացվում են ՓՄՁ-ների էությունը, դրանց դասակարգման չափանիշները և դերը տնտեսության մեջ։ Մանրամասն քննարկվում են ֆինանսավորման ներքին և արտաքին աղբյուրները, վերլուծվում են կապիտալի կառուցվածքի հիմնական տեսությունները, ինչպես նաև ֆինանսավորման առանցքային գործիքների՝ վարկավորման, լիզինգի, ֆակտորինգի և վենչուրային կապիտալի տեսական հիմքերը։ Երկրորդ գլուխը նվիրված է Հայաստանում ՓՄՁ ֆինանսավորման գործնական իրականության ուսումնասիրությանը։ Այստեղ վերլուծվում են պետական աջակցության ինստիտուցիոնալ ենթակառուցվածքը և հիմնական ծրագրերը, գնահատվում է առևտրային բանկերի դերը վարկավորման գործընթացում, ինչպես նաև քննարկվում է ֆինանսավորման այլընտրանքային գործիքների (լիզինգ, վենչուրային կապիտալ, քրաուդֆանդինգ) կիրառման ներկա վիճակն ու զարգացման միտումները։ Երրորդ գլխում համակարգվում և խորացվում են ֆինանսավորման հասանելիության հիմնախնդիրները՝ հիմնվելով նախորդ գլուխների վերլուծության վրա։ Այնուհետև ուսումնասիրվում է միջազգային առաջավոր փորձը ՓՄՁ ֆինանսավորման ոլորտում և գնահատվում դրա կիրառման հնարավորությունը Հայաստանի պայմաններում, ինչի հիման վրա մշակվում են կոնկրետ, հասցեական առաջարկություններ՝ ուղղված ֆինանսավորման գործիքների կատարելագործմանը և շուկայի զարգացմանը։ Եզրակացության մեջ ամփոփվում են հետազոտության հիմնական արդյունքները և ներկայացվում վերջնական դրույթները։</w:t>
      </w:r>
    </w:p>
    <w:p>
      <w:r>
        <w:br w:type="page"/>
      </w:r>
    </w:p>
    <w:p>
      <w:pPr>
        <w:pStyle w:val="Heading1"/>
      </w:pPr>
      <w:bookmarkStart w:id="102" w:name="_Toc_heading_2"/>
      <w:r>
        <w:t>ԳԼՈՒԽ 1. ՓՄՁ-ՆԵՐԻ ՖԻՆԱՆՍԱՎՈՐՄԱՆ ՏԵՍԱՄԵԹՈԴԱԲԱՆԱԿԱՆ ՀԻՄՈՒՆՔՆԵՐԸ</w:t>
      </w:r>
      <w:bookmarkEnd w:id="102"/>
    </w:p>
    <w:p>
      <w:pPr>
        <w:pStyle w:val="Heading2"/>
      </w:pPr>
      <w:bookmarkStart w:id="103" w:name="_Toc_heading_3"/>
      <w:r>
        <w:t>1.1. Փոքր և միջին ձեռնարկատիրության էությունը, դասակարգումը և դերը տնտեսության զարգացման գործում</w:t>
      </w:r>
      <w:bookmarkEnd w:id="103"/>
    </w:p>
    <w:p>
      <w:r>
        <w:t>Ողջ աշխարհի մասշտաբով ձեռնարկությունների շուրջ 90 %-ը դասվում է փոքր և միջինների շարքին, որոնք ապահովում են ընդհանուր զբաղվածության ավելի քան 50 %-ը [14, էջ 1]։ Չնայած իրենց կենտրոնական դերին՝ «փոքր և միջին ձեռնարկություն» հասկացությունը չունի միասնական, համընդհանուր ընդունված սահմանում։ Տարբեր երկրներ և միջազգային կազմակերպություններ կիրառում են դասակարգման տարբեր չափանիշներ, ինչը դժվարացնում է միջազգային համեմատական վերլուծությունները [23, էջ 1]։ Այս խնդիրը պարզապես տերմինաբանական չէ, քանի որ ՓՄՁ սահմանումից է կախված, թե որ ընկերությունները կարող են օգտվել պետական աջակցության ծրագրերից, հարկային արտոնություններից և այլ խթանող գործիքներից։</w:t>
      </w:r>
    </w:p>
    <w:p>
      <w:r>
        <w:t>ՓՄՁ-ների սահմանման և դասակարգման համար կիրառվում են ինչպես քանակական, այնպես էլ որակական ցուցանիշներ, սակայն գործնականում գերակշռում է քանակական մոտեցումը։ Միջազգային ֆինանսական կորպորացիայի (IFC) կողմից 155 երկրներում իրականացված հետազոտությունը ցույց է տվել, որ ամենատարածված քանակական ցուցանիշներն են աշխատակիցների քանակը (կիրառվում է սահմանումների 92 %-ում), տարեկան շրջանառությունը (49 %) և ակտիվների արժեքը (36 %) [14, էջ 2]։ Այս ցուցանիշների հիման վրա ձևավորվել են դասակարգման մի քանի հիմնական մոդելներ, որոնցից առավել ազդեցիկ են Եվրոպական միության և Համաշխարհային բանկի մոտեցումները։</w:t>
      </w:r>
    </w:p>
    <w:p>
      <w:r>
        <w:t>Եվրոպական միությունը 2003 թվականի հանձնարարականով ստանդարտացրել է ՓՄՁ սահմանումը, որպեսզի միասնական շուկայում ապահովի քաղաքականության հետևողականություն և խուսափի մրցակցության խեղաթյուրումներից [26, էջ 5]։ ԵՄ մոտեցման համաձայն՝ աշխատակիցների թվաքանակի չափանիշը պարտադիր է, մինչդեռ ընկերությունը կարող է բավարարել ֆինանսական երկու ցուցանիշներից (տարեկան շրջանառություն կամ հաշվեկշռային ընդհանուր արժեք) որևէ մեկը [23, էջ 2]։</w:t>
      </w:r>
    </w:p>
    <w:tbl>
      <w:tblPr>
        <w:tblStyle w:val="TableGrid"/>
        <w:tblW w:type="auto" w:w="0"/>
        <w:tblLayout w:type="autofit"/>
        <w:tblLook w:firstColumn="1" w:firstRow="1" w:lastColumn="0" w:lastRow="0" w:noHBand="0" w:noVBand="1" w:val="04A0"/>
      </w:tblPr>
      <w:tblGrid>
        <w:gridCol w:w="1984"/>
        <w:gridCol w:w="1984"/>
        <w:gridCol w:w="1984"/>
        <w:gridCol w:w="1984"/>
        <w:gridCol w:w="1984"/>
      </w:tblGrid>
      <w:tr>
        <w:tc>
          <w:tcPr>
            <w:tcW w:type="dxa" w:w="1984"/>
          </w:tcPr>
          <w:p>
            <w:r>
              <w:rPr>
                <w:rFonts w:ascii="GHEA Grapalat" w:hAnsi="GHEA Grapalat"/>
                <w:b/>
                <w:sz w:val="24"/>
              </w:rPr>
              <w:t>Ձեռնարկության կատեգորիա</w:t>
            </w:r>
          </w:p>
        </w:tc>
        <w:tc>
          <w:tcPr>
            <w:tcW w:type="dxa" w:w="1984"/>
          </w:tcPr>
          <w:p>
            <w:r>
              <w:rPr>
                <w:rFonts w:ascii="GHEA Grapalat" w:hAnsi="GHEA Grapalat"/>
                <w:b/>
                <w:sz w:val="24"/>
              </w:rPr>
              <w:t>Աշխատակիցների թվաքանակ</w:t>
            </w:r>
          </w:p>
        </w:tc>
        <w:tc>
          <w:tcPr>
            <w:tcW w:type="dxa" w:w="1984"/>
          </w:tcPr>
          <w:p>
            <w:r>
              <w:rPr>
                <w:rFonts w:ascii="GHEA Grapalat" w:hAnsi="GHEA Grapalat"/>
                <w:b/>
                <w:sz w:val="24"/>
              </w:rPr>
              <w:t>Տարեկան շրջանառություն</w:t>
            </w:r>
          </w:p>
        </w:tc>
        <w:tc>
          <w:tcPr>
            <w:tcW w:type="dxa" w:w="1984"/>
          </w:tcPr>
          <w:p>
            <w:r>
              <w:rPr>
                <w:rFonts w:ascii="GHEA Grapalat" w:hAnsi="GHEA Grapalat"/>
                <w:b/>
                <w:sz w:val="24"/>
              </w:rPr>
              <w:t>ԿԱՄ</w:t>
            </w:r>
          </w:p>
        </w:tc>
        <w:tc>
          <w:tcPr>
            <w:tcW w:type="dxa" w:w="1984"/>
          </w:tcPr>
          <w:p>
            <w:r>
              <w:rPr>
                <w:rFonts w:ascii="GHEA Grapalat" w:hAnsi="GHEA Grapalat"/>
                <w:b/>
                <w:sz w:val="24"/>
              </w:rPr>
              <w:t>Տարեկան հաշվեկշռի ընդհանուր արժեք</w:t>
            </w:r>
          </w:p>
        </w:tc>
      </w:tr>
      <w:tr>
        <w:tc>
          <w:tcPr>
            <w:tcW w:type="dxa" w:w="1984"/>
          </w:tcPr>
          <w:p>
            <w:r>
              <w:rPr>
                <w:rFonts w:ascii="GHEA Grapalat" w:hAnsi="GHEA Grapalat"/>
                <w:sz w:val="24"/>
              </w:rPr>
              <w:t>Միջին</w:t>
            </w:r>
          </w:p>
        </w:tc>
        <w:tc>
          <w:tcPr>
            <w:tcW w:type="dxa" w:w="1984"/>
          </w:tcPr>
          <w:p>
            <w:r>
              <w:rPr>
                <w:rFonts w:ascii="GHEA Grapalat" w:hAnsi="GHEA Grapalat"/>
                <w:sz w:val="24"/>
              </w:rPr>
              <w:t>&lt; 250</w:t>
            </w:r>
          </w:p>
        </w:tc>
        <w:tc>
          <w:tcPr>
            <w:tcW w:type="dxa" w:w="1984"/>
          </w:tcPr>
          <w:p>
            <w:r>
              <w:rPr>
                <w:rFonts w:ascii="GHEA Grapalat" w:hAnsi="GHEA Grapalat"/>
                <w:sz w:val="24"/>
              </w:rPr>
              <w:t>≤ 50 մլն եվրո</w:t>
            </w:r>
          </w:p>
        </w:tc>
        <w:tc>
          <w:tcPr>
            <w:tcW w:type="dxa" w:w="1984"/>
          </w:tcPr>
          <w:p>
            <w:r>
              <w:rPr>
                <w:rFonts w:ascii="GHEA Grapalat" w:hAnsi="GHEA Grapalat"/>
                <w:sz w:val="24"/>
              </w:rPr>
            </w:r>
          </w:p>
        </w:tc>
        <w:tc>
          <w:tcPr>
            <w:tcW w:type="dxa" w:w="1984"/>
          </w:tcPr>
          <w:p>
            <w:r>
              <w:rPr>
                <w:rFonts w:ascii="GHEA Grapalat" w:hAnsi="GHEA Grapalat"/>
                <w:sz w:val="24"/>
              </w:rPr>
              <w:t>≤ 43 մլն եվրո</w:t>
            </w:r>
          </w:p>
        </w:tc>
      </w:tr>
      <w:tr>
        <w:tc>
          <w:tcPr>
            <w:tcW w:type="dxa" w:w="1984"/>
          </w:tcPr>
          <w:p>
            <w:r>
              <w:rPr>
                <w:rFonts w:ascii="GHEA Grapalat" w:hAnsi="GHEA Grapalat"/>
                <w:sz w:val="24"/>
              </w:rPr>
              <w:t>Փոքր</w:t>
            </w:r>
          </w:p>
        </w:tc>
        <w:tc>
          <w:tcPr>
            <w:tcW w:type="dxa" w:w="1984"/>
          </w:tcPr>
          <w:p>
            <w:r>
              <w:rPr>
                <w:rFonts w:ascii="GHEA Grapalat" w:hAnsi="GHEA Grapalat"/>
                <w:sz w:val="24"/>
              </w:rPr>
              <w:t>&lt; 50</w:t>
            </w:r>
          </w:p>
        </w:tc>
        <w:tc>
          <w:tcPr>
            <w:tcW w:type="dxa" w:w="1984"/>
          </w:tcPr>
          <w:p>
            <w:r>
              <w:rPr>
                <w:rFonts w:ascii="GHEA Grapalat" w:hAnsi="GHEA Grapalat"/>
                <w:sz w:val="24"/>
              </w:rPr>
              <w:t>≤ 10 մլն եվրո</w:t>
            </w:r>
          </w:p>
        </w:tc>
        <w:tc>
          <w:tcPr>
            <w:tcW w:type="dxa" w:w="1984"/>
          </w:tcPr>
          <w:p>
            <w:r>
              <w:rPr>
                <w:rFonts w:ascii="GHEA Grapalat" w:hAnsi="GHEA Grapalat"/>
                <w:sz w:val="24"/>
              </w:rPr>
            </w:r>
          </w:p>
        </w:tc>
        <w:tc>
          <w:tcPr>
            <w:tcW w:type="dxa" w:w="1984"/>
          </w:tcPr>
          <w:p>
            <w:r>
              <w:rPr>
                <w:rFonts w:ascii="GHEA Grapalat" w:hAnsi="GHEA Grapalat"/>
                <w:sz w:val="24"/>
              </w:rPr>
              <w:t>≤ 10 մլն եվրո</w:t>
            </w:r>
          </w:p>
        </w:tc>
      </w:tr>
      <w:tr>
        <w:tc>
          <w:tcPr>
            <w:tcW w:type="dxa" w:w="1984"/>
          </w:tcPr>
          <w:p>
            <w:r>
              <w:rPr>
                <w:rFonts w:ascii="GHEA Grapalat" w:hAnsi="GHEA Grapalat"/>
                <w:sz w:val="24"/>
              </w:rPr>
              <w:t>Գերփոքր (միկրո)</w:t>
            </w:r>
          </w:p>
        </w:tc>
        <w:tc>
          <w:tcPr>
            <w:tcW w:type="dxa" w:w="1984"/>
          </w:tcPr>
          <w:p>
            <w:r>
              <w:rPr>
                <w:rFonts w:ascii="GHEA Grapalat" w:hAnsi="GHEA Grapalat"/>
                <w:sz w:val="24"/>
              </w:rPr>
              <w:t>&lt; 10</w:t>
            </w:r>
          </w:p>
        </w:tc>
        <w:tc>
          <w:tcPr>
            <w:tcW w:type="dxa" w:w="1984"/>
          </w:tcPr>
          <w:p>
            <w:r>
              <w:rPr>
                <w:rFonts w:ascii="GHEA Grapalat" w:hAnsi="GHEA Grapalat"/>
                <w:sz w:val="24"/>
              </w:rPr>
              <w:t>≤ 2 մլն եվրո</w:t>
            </w:r>
          </w:p>
        </w:tc>
        <w:tc>
          <w:tcPr>
            <w:tcW w:type="dxa" w:w="1984"/>
          </w:tcPr>
          <w:p>
            <w:r>
              <w:rPr>
                <w:rFonts w:ascii="GHEA Grapalat" w:hAnsi="GHEA Grapalat"/>
                <w:sz w:val="24"/>
              </w:rPr>
            </w:r>
          </w:p>
        </w:tc>
        <w:tc>
          <w:tcPr>
            <w:tcW w:type="dxa" w:w="1984"/>
          </w:tcPr>
          <w:p>
            <w:r>
              <w:rPr>
                <w:rFonts w:ascii="GHEA Grapalat" w:hAnsi="GHEA Grapalat"/>
                <w:sz w:val="24"/>
              </w:rPr>
              <w:t>≤ 2 մլն եվրո</w:t>
            </w:r>
          </w:p>
        </w:tc>
      </w:tr>
    </w:tbl>
    <w:p/>
    <w:p>
      <w:r>
        <w:t>Աղբյուր՝ կազմված է ըստ [26, էջ 11]։</w:t>
      </w:r>
    </w:p>
    <w:p>
      <w:r>
        <w:t>Համաշխարհային բանկի մոտեցումը նույնպես հիմնվում է երեք քանակական չափանիշի վրա՝ աշխատակիցների թիվ, ընդհանուր ակտիվներ և ընդհանուր տարեկան վաճառք (արտահայտված ԱՄՆ դոլարով)։ Օրինակ, միջին ձեռնարկության համար աշխատակիցների վերին շեմը 300 է, իսկ ֆինանսական շեմերն զգալիորեն ավելի ցածր են, քան ԵՄ-ում։ Այսպես, եթե ԵՄ-ում միկրոձեռնարկությունը կարող է ունենալ մինչև 2 մլն եվրո շրջանառություն, ապա Համաշխարհային բանկի չափանիշով այն չպետք է գերազանցի 100 հազար ԱՄՆ դոլարը [23, էջ 2]։</w:t>
      </w:r>
    </w:p>
    <w:p>
      <w:r>
        <w:t>Հայաստանի Հանրապետությունը 2010 թվականին «Փոքր և միջին ձեռնարկատիրության պետական աջակցության մասին» ՀՀ օրենքում կատարված փոփոխություններով իր ազգային դասակարգումը համապատասխանեցրել է Եվրամիության մոդելին։ Այս քայլի նպատակն էր ապահովել ցուցանիշների համադրելիությունը, բարելավել վիճակագրությունը և պետական աջակցությունն ավելի հասցեական դարձնել [11, 14]։</w:t>
      </w:r>
    </w:p>
    <w:tbl>
      <w:tblPr>
        <w:tblStyle w:val="TableGrid"/>
        <w:tblW w:type="auto" w:w="0"/>
        <w:tblLayout w:type="autofit"/>
        <w:tblLook w:firstColumn="1" w:firstRow="1" w:lastColumn="0" w:lastRow="0" w:noHBand="0" w:noVBand="1" w:val="04A0"/>
      </w:tblPr>
      <w:tblGrid>
        <w:gridCol w:w="1984"/>
        <w:gridCol w:w="1984"/>
        <w:gridCol w:w="1984"/>
        <w:gridCol w:w="1984"/>
        <w:gridCol w:w="1984"/>
      </w:tblGrid>
      <w:tr>
        <w:tc>
          <w:tcPr>
            <w:tcW w:type="dxa" w:w="1984"/>
          </w:tcPr>
          <w:p>
            <w:r>
              <w:rPr>
                <w:rFonts w:ascii="GHEA Grapalat" w:hAnsi="GHEA Grapalat"/>
                <w:b/>
                <w:sz w:val="24"/>
              </w:rPr>
              <w:t>Ձեռնարկության կատեգորիա</w:t>
            </w:r>
          </w:p>
        </w:tc>
        <w:tc>
          <w:tcPr>
            <w:tcW w:type="dxa" w:w="1984"/>
          </w:tcPr>
          <w:p>
            <w:r>
              <w:rPr>
                <w:rFonts w:ascii="GHEA Grapalat" w:hAnsi="GHEA Grapalat"/>
                <w:b/>
                <w:sz w:val="24"/>
              </w:rPr>
              <w:t>Աշխատողների միջին ցուցակային թվաքանակ</w:t>
            </w:r>
          </w:p>
        </w:tc>
        <w:tc>
          <w:tcPr>
            <w:tcW w:type="dxa" w:w="1984"/>
          </w:tcPr>
          <w:p>
            <w:r>
              <w:rPr>
                <w:rFonts w:ascii="GHEA Grapalat" w:hAnsi="GHEA Grapalat"/>
                <w:b/>
                <w:sz w:val="24"/>
              </w:rPr>
              <w:t>Նախորդ տարվա հասույթ</w:t>
            </w:r>
          </w:p>
        </w:tc>
        <w:tc>
          <w:tcPr>
            <w:tcW w:type="dxa" w:w="1984"/>
          </w:tcPr>
          <w:p>
            <w:r>
              <w:rPr>
                <w:rFonts w:ascii="GHEA Grapalat" w:hAnsi="GHEA Grapalat"/>
                <w:b/>
                <w:sz w:val="24"/>
              </w:rPr>
              <w:t>ԿԱՄ</w:t>
            </w:r>
          </w:p>
        </w:tc>
        <w:tc>
          <w:tcPr>
            <w:tcW w:type="dxa" w:w="1984"/>
          </w:tcPr>
          <w:p>
            <w:r>
              <w:rPr>
                <w:rFonts w:ascii="GHEA Grapalat" w:hAnsi="GHEA Grapalat"/>
                <w:b/>
                <w:sz w:val="24"/>
              </w:rPr>
              <w:t>Ակտիվների հաշվեկշռային արժեք</w:t>
            </w:r>
          </w:p>
        </w:tc>
      </w:tr>
      <w:tr>
        <w:tc>
          <w:tcPr>
            <w:tcW w:type="dxa" w:w="1984"/>
          </w:tcPr>
          <w:p>
            <w:r>
              <w:rPr>
                <w:rFonts w:ascii="GHEA Grapalat" w:hAnsi="GHEA Grapalat"/>
                <w:sz w:val="24"/>
              </w:rPr>
              <w:t>Միջին</w:t>
            </w:r>
          </w:p>
        </w:tc>
        <w:tc>
          <w:tcPr>
            <w:tcW w:type="dxa" w:w="1984"/>
          </w:tcPr>
          <w:p>
            <w:r>
              <w:rPr>
                <w:rFonts w:ascii="GHEA Grapalat" w:hAnsi="GHEA Grapalat"/>
                <w:sz w:val="24"/>
              </w:rPr>
              <w:t>&lt; 250 մարդ</w:t>
            </w:r>
          </w:p>
        </w:tc>
        <w:tc>
          <w:tcPr>
            <w:tcW w:type="dxa" w:w="1984"/>
          </w:tcPr>
          <w:p>
            <w:r>
              <w:rPr>
                <w:rFonts w:ascii="GHEA Grapalat" w:hAnsi="GHEA Grapalat"/>
                <w:sz w:val="24"/>
              </w:rPr>
              <w:t>≤ 1500 մլն դրամ</w:t>
            </w:r>
          </w:p>
        </w:tc>
        <w:tc>
          <w:tcPr>
            <w:tcW w:type="dxa" w:w="1984"/>
          </w:tcPr>
          <w:p>
            <w:r>
              <w:rPr>
                <w:rFonts w:ascii="GHEA Grapalat" w:hAnsi="GHEA Grapalat"/>
                <w:sz w:val="24"/>
              </w:rPr>
            </w:r>
          </w:p>
        </w:tc>
        <w:tc>
          <w:tcPr>
            <w:tcW w:type="dxa" w:w="1984"/>
          </w:tcPr>
          <w:p>
            <w:r>
              <w:rPr>
                <w:rFonts w:ascii="GHEA Grapalat" w:hAnsi="GHEA Grapalat"/>
                <w:sz w:val="24"/>
              </w:rPr>
              <w:t>≤ 1000 մլն դրամ</w:t>
            </w:r>
          </w:p>
        </w:tc>
      </w:tr>
      <w:tr>
        <w:tc>
          <w:tcPr>
            <w:tcW w:type="dxa" w:w="1984"/>
          </w:tcPr>
          <w:p>
            <w:r>
              <w:rPr>
                <w:rFonts w:ascii="GHEA Grapalat" w:hAnsi="GHEA Grapalat"/>
                <w:sz w:val="24"/>
              </w:rPr>
              <w:t>Փոքր</w:t>
            </w:r>
          </w:p>
        </w:tc>
        <w:tc>
          <w:tcPr>
            <w:tcW w:type="dxa" w:w="1984"/>
          </w:tcPr>
          <w:p>
            <w:r>
              <w:rPr>
                <w:rFonts w:ascii="GHEA Grapalat" w:hAnsi="GHEA Grapalat"/>
                <w:sz w:val="24"/>
              </w:rPr>
              <w:t>&lt; 50 մարդ</w:t>
            </w:r>
          </w:p>
        </w:tc>
        <w:tc>
          <w:tcPr>
            <w:tcW w:type="dxa" w:w="1984"/>
          </w:tcPr>
          <w:p>
            <w:r>
              <w:rPr>
                <w:rFonts w:ascii="GHEA Grapalat" w:hAnsi="GHEA Grapalat"/>
                <w:sz w:val="24"/>
              </w:rPr>
              <w:t>≤ 500 մլն դրամ</w:t>
            </w:r>
          </w:p>
        </w:tc>
        <w:tc>
          <w:tcPr>
            <w:tcW w:type="dxa" w:w="1984"/>
          </w:tcPr>
          <w:p>
            <w:r>
              <w:rPr>
                <w:rFonts w:ascii="GHEA Grapalat" w:hAnsi="GHEA Grapalat"/>
                <w:sz w:val="24"/>
              </w:rPr>
            </w:r>
          </w:p>
        </w:tc>
        <w:tc>
          <w:tcPr>
            <w:tcW w:type="dxa" w:w="1984"/>
          </w:tcPr>
          <w:p>
            <w:r>
              <w:rPr>
                <w:rFonts w:ascii="GHEA Grapalat" w:hAnsi="GHEA Grapalat"/>
                <w:sz w:val="24"/>
              </w:rPr>
              <w:t>≤ 500 մլն դրամ</w:t>
            </w:r>
          </w:p>
        </w:tc>
      </w:tr>
      <w:tr>
        <w:tc>
          <w:tcPr>
            <w:tcW w:type="dxa" w:w="1984"/>
          </w:tcPr>
          <w:p>
            <w:r>
              <w:rPr>
                <w:rFonts w:ascii="GHEA Grapalat" w:hAnsi="GHEA Grapalat"/>
                <w:sz w:val="24"/>
              </w:rPr>
              <w:t>Գերփոքր</w:t>
            </w:r>
          </w:p>
        </w:tc>
        <w:tc>
          <w:tcPr>
            <w:tcW w:type="dxa" w:w="1984"/>
          </w:tcPr>
          <w:p>
            <w:r>
              <w:rPr>
                <w:rFonts w:ascii="GHEA Grapalat" w:hAnsi="GHEA Grapalat"/>
                <w:sz w:val="24"/>
              </w:rPr>
              <w:t>&lt; 10 մարդ</w:t>
            </w:r>
          </w:p>
        </w:tc>
        <w:tc>
          <w:tcPr>
            <w:tcW w:type="dxa" w:w="1984"/>
          </w:tcPr>
          <w:p>
            <w:r>
              <w:rPr>
                <w:rFonts w:ascii="GHEA Grapalat" w:hAnsi="GHEA Grapalat"/>
                <w:sz w:val="24"/>
              </w:rPr>
              <w:t>≤ 100 մլն դրամ</w:t>
            </w:r>
          </w:p>
        </w:tc>
        <w:tc>
          <w:tcPr>
            <w:tcW w:type="dxa" w:w="1984"/>
          </w:tcPr>
          <w:p>
            <w:r>
              <w:rPr>
                <w:rFonts w:ascii="GHEA Grapalat" w:hAnsi="GHEA Grapalat"/>
                <w:sz w:val="24"/>
              </w:rPr>
            </w:r>
          </w:p>
        </w:tc>
        <w:tc>
          <w:tcPr>
            <w:tcW w:type="dxa" w:w="1984"/>
          </w:tcPr>
          <w:p>
            <w:r>
              <w:rPr>
                <w:rFonts w:ascii="GHEA Grapalat" w:hAnsi="GHEA Grapalat"/>
                <w:sz w:val="24"/>
              </w:rPr>
              <w:t>≤ 100 մլն դրամ</w:t>
            </w:r>
          </w:p>
        </w:tc>
      </w:tr>
    </w:tbl>
    <w:p/>
    <w:p>
      <w:r>
        <w:t>Աղբյուր՝ կազմված է ըստ [4, 14]։</w:t>
      </w:r>
    </w:p>
    <w:p>
      <w:r>
        <w:t>Չնայած քանակական չափանիշների հարմարավետությանը՝ դրանք ունեն էական սահմանափակումներ։ Օրինակ՝ միևնույն չափի ձեռնարկությունը կարող է փոքր համարվել արտադրության ոլորտում, բայց խոշոր՝ ծառայությունների ոլորտի որևէ նեղ մասնագիտացման մեջ [23, էջ 4]։ Այս խնդիրը լուծելու համար, օրինակ, ԱՄՆ-ում «Փոքր բիզնեսի» ակտը սահմանում է ոլորտից կախված տարբեր չափանիշներ [23, էջ 4]։</w:t>
      </w:r>
    </w:p>
    <w:p>
      <w:r>
        <w:t>Դրանք նպատակ ունեն բնութագրելու ոչ թե ձեռնարկության չափը, այլ դրա գործունեության բնույթը։ Բոլթոնի զեկույցը (Bolton Report, 1971) առանձնացրել է երեք հիմնական որակական հատկանիշ.</w:t>
      </w:r>
    </w:p>
    <w:p>
      <w:r>
        <w:t>1.  Անկախություն։ Ձեռնարկությունը ավելի մեծ կառույցի մաս չէ և ազատ է արտաքին վերահսկողությունից։</w:t>
      </w:r>
    </w:p>
    <w:p>
      <w:r>
        <w:t>2.  Կառավարում սեփականատիրոջ կողմից։ Սեփականատերը կամ սեփականատերերն անձամբ են կառավարում բիզնեսը։</w:t>
      </w:r>
    </w:p>
    <w:p>
      <w:r>
        <w:t>3.  Շուկայում փոքր մասնաբաժին։ Ձեռնարկությունը գերիշխող դիրք չունի իր գործունեության ոլորտում [23, էջ 5]։</w:t>
      </w:r>
    </w:p>
    <w:p>
      <w:r>
        <w:t>Այս մոտեցումը լավ է արտացոլում ՓՄՁ-ի «ոգին», սակայն դրա գլխավոր թերությունն այն է, որ դժվար է այն կիրառել վիճակագրական նպատակներով [23, էջ 6]։ Այդ պատճառով ժամանակակից գործնականում գերակշռում է քանակական ցուցանիշների վրա հիմնված դասակարգումը՝ որոշ դեպքերում համալրվելով որակականներով, ինչպես օրինակ՝ ձեռնարկության ինքնավարության (անկախության) պահանջը ԵՄ սահմանման մեջ [23, էջ 5]։</w:t>
      </w:r>
    </w:p>
    <w:p>
      <w:r>
        <w:t>Դրանք ոչ միայն ապահովում են զբաղվածության բարձր մակարդակ, այլև նպաստում են մրցակցային միջավայրի ձևավորմանը, նորարարությունների խթանմանը և տնտեսության ճկունությանը։ Զարգացող երկրներում ՓՄՁ-ները ձևավորում են ՀՆԱ-ի մինչև 40 %-ը և ստեղծում են 10 նոր աշխատատեղերից 7-ը [14, էջ 1]։</w:t>
      </w:r>
    </w:p>
    <w:p>
      <w:r>
        <w:t>Հայաստանի Հանրապետությունում ՓՄՁ-ները նույնպես կազմում են տնտեսության հիմքը։ 2023 թվականի տվյալներով՝ երկրում գործող 109 592 ՓՄՁ սուբյեկտները կազմել են տնտեսական գործունեություն իրականացրած բոլոր տնտեսվարողների ճնշող մեծամասնությունը [5, էջ 3]։ Ընդ որում, դրանց կառուցվածքում գերակշռում են գերփոքր ձեռնարկությունները, որոնք 2017 թվականի դրությամբ կազմում էին ՓՄՁ-ների ընդհանուր թվի 91,5 %-ը [14, էջ 3]։</w:t>
      </w:r>
    </w:p>
    <w:p>
      <w:r>
        <w:t>ՓՄՁ-ների մասնաբաժինը Հայաստանի համախառն ներքին արդյունքի (ՀՆԱ) ձևավորման մեջ վերջին տարիներին ունեցել է աճի միտում։ Եթե 2019 թվականին այն կազմում էր 26 %, ապա 2023 թվականին հասել է 31,6 %-ի։</w:t>
      </w:r>
    </w:p>
    <w:p>
      <w:pPr>
        <w:ind w:firstLine="0"/>
        <w:jc w:val="center"/>
      </w:pPr>
      <w:r>
        <w:drawing>
          <wp:inline xmlns:a="http://schemas.openxmlformats.org/drawingml/2006/main" xmlns:pic="http://schemas.openxmlformats.org/drawingml/2006/picture">
            <wp:extent cx="5040000" cy="294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940000"/>
                    </a:xfrm>
                    <a:prstGeom prst="rect"/>
                  </pic:spPr>
                </pic:pic>
              </a:graphicData>
            </a:graphic>
          </wp:inline>
        </w:drawing>
      </w:r>
    </w:p>
    <w:p>
      <w:pPr>
        <w:ind w:firstLine="0"/>
        <w:jc w:val="center"/>
      </w:pPr>
      <w:r>
        <w:rPr>
          <w:i/>
          <w:sz w:val="20"/>
        </w:rPr>
        <w:t>Նկար 1. ՓՄՁ-ների մասնաբաժինը ՀՀ ՀՆԱ-ի կառուցվածքում (2019-2023 թթ.)</w:t>
      </w:r>
    </w:p>
    <w:p>
      <w:pPr>
        <w:spacing w:after="320"/>
        <w:ind w:firstLine="0"/>
        <w:jc w:val="center"/>
      </w:pPr>
      <w:r>
        <w:rPr>
          <w:i/>
          <w:sz w:val="18"/>
        </w:rPr>
        <w:t>Աղբյուր՝ (Էկոնոմիկայի նախարարություն, 2024, էջ 6)</w:t>
      </w:r>
    </w:p>
    <w:p>
      <w:r>
        <w:t>Այս դրական դինամիկան վկայում է ոլորտի աճող դերի մասին, սակայն հարկ է նշել, որ այս ցուցանիշը դեռևս զիջում է ԵՄ անդամ երկրների միջինին, որտեղ ՓՄՁ-ների մասնաբաժինը ՀՆԱ-ում հասնում է 56,8 %-ի [14, էջ 4]։ Սա վկայում է Հայաստանում ՓՄՁ ոլորտի զարգացման զգալի, բայց դեռևս չիրացված ներուժի մասին [4, էջ 3]։</w:t>
      </w:r>
    </w:p>
    <w:p>
      <w:r>
        <w:t>Ինչպես նշում է Գևորգյանը, դրանց ռազմավարական նշանակությունը պայմանավորված է հետևյալով.</w:t>
      </w:r>
    </w:p>
    <w:p>
      <w:r>
        <w:t>- Աշխատատեղերի ստեղծում։ ՓՄՁ-ները կարող են համեմատաբար փոքր ներդրումներով և կարճ ժամանակում ստեղծել զգալի թվով աշխատատեղեր՝ մեղմելով գործազրկությունը։</w:t>
      </w:r>
    </w:p>
    <w:p>
      <w:r>
        <w:t>- Ճկունություն և հարմարվողականություն։ Իրենց փոքր չափերի շնորհիվ դրանք ավելի արագ են արձագանքում շուկայի փոփոխվող պահանջներին և ներդնում նորարարություններ։</w:t>
      </w:r>
    </w:p>
    <w:p>
      <w:r>
        <w:t>- Տեղական ռեսուրսների օգտագործում։ ՓՄՁ-ներն ավելի արդյունավետ են օգտագործում տեղական հումքային ռեսուրսները՝ նվազեցնելով կախվածությունը ներմուծումից։</w:t>
      </w:r>
    </w:p>
    <w:p>
      <w:r>
        <w:t>- Միջին խավի ձևավորում։ ՓՄՁ ոլորտի զարգացումը ժամանակակից հասարակության հիմքը կազմող կայուն միջին խավի ձևավորման գրավականն է։</w:t>
      </w:r>
    </w:p>
    <w:p>
      <w:r>
        <w:t>- Տարածաշրջանային զարգացում։ Դրանց զարգացումը նպաստում է մարզերի տնտեսական աշխուժացմանը և տարածքային անհամամասնությունների հաղթահարմանը [2, էջ 1-2]։</w:t>
      </w:r>
    </w:p>
    <w:p>
      <w:r>
        <w:t>Այսպիսով, ՓՄՁ-ների խթանումը դիտարկվում է ոչ միայն որպես տնտեսական աճի, այլև սոցիալական կայունության և հասարակության բարեկեցության բարձրացման կարևորագույն գործոն։</w:t>
      </w:r>
    </w:p>
    <w:p>
      <w:r>
        <w:t>Թեև «փոքր և միջին ձեռնարկատիրություն» հասկացությունը միջազգային մակարդակում միասնական սահմանում չունի, դրա դասակարգման հիմքում ընկած են հիմնականում քանակական չափանիշներ՝ աշխատակիցների թիվ և ֆինանսական ցուցանիշներ։ Հայաստանը, որդեգրելով ԵՄ մոտեցումը, քայլ է կատարել դեպի միջազգային ստանդարտներին ինտեգրում։ Չնայած ՓՄՁ-ները կազմում են Հայաստանի տնտեսության ողնաշարը և վերջին տարիներին ցուցաբերում են աճի դրական դինամիկա, դրանց ներուժը դեռևս լիովին իրացված չէ։</w:t>
      </w:r>
    </w:p>
    <w:p>
      <w:pPr>
        <w:pStyle w:val="Heading2"/>
      </w:pPr>
      <w:bookmarkStart w:id="104" w:name="_Toc_heading_4"/>
      <w:r>
        <w:t>1.2. ՓՄՁ-ների ֆինանսավորման աղբյուրները և դրանց առանձնահատկությունները</w:t>
      </w:r>
      <w:bookmarkEnd w:id="104"/>
    </w:p>
    <w:p>
      <w:r>
        <w:t>Փոքր և միջին ձեռնարկությունների (ՓՄՁ) գործունեությունն ու զարգացումը մեծապես կախված են ֆինանսական ռեսուրսների հասանելիությունից։ Սակայն, ինչպես ցույց են տալիս բազմաթիվ ուսումնասիրություններ, ՓՄՁ-ները, համեմատած խոշոր ընկերությունների հետ, ֆինանսավորում ներգրավելիս բախվում են զգալի խոչընդոտների [31, էջ 4]։ Այս դժվարությունները հաճախ պայմանավորված են տեղեկատվական անհամաչափությամբ, գրավի սղությամբ և ակտիվների ոչ նյութական բնույթով (O'Toole 2014, էջ 1)։ Հետևաբար, ֆինանսավորման տարբեր աղբյուրների առանձնահատկությունների, դրանց առավելությունների և թերությունների ուսումնասիրությունը կարևոր նշանակություն ունի ՓՄՁ-ների համար կենսունակ ռազմավարություն մշակելու տեսանկյունից։</w:t>
      </w:r>
    </w:p>
    <w:p>
      <w:r>
        <w:t>Ֆինանսավորման աղբյուրներն ընդունված է դասակարգել երկու հիմնական խմբի՝ ներքին և արտաքին։ Ներքին ֆինանսավորումը ենթադրում է ընկերության սեփական միջոցների օգտագործում, մինչդեռ արտաքին ֆինանսավորումը ներառում է երրորդ կողմից միջոցների ներգրավում։ Իր հերթին, արտաքին ֆինանսավորումը բաժանվում է պարտքային (փոխառու) և սեփական կապիտալի (բաժնային) ֆինանսավորման։ Ըստ «նախապատվությունների հերթականության տեսության» (pecking order theory), ընկերությունները նախապատվությունը տալիս են ներքին ֆինանսավորմանը, այնուհետև՝ արտաքին պարտքային գործիքներին, և միայն որպես վերջին տարբերակ դիմում են բաժնային ֆինանսավորմանը (O'Toole 2014, էջ 2)։ Այս մոտեցումը բացատրվում է ֆինանսավորման ծախսերով և սեփականության նկատմամբ վերահսկողությունը կորցնելու ռիսկով։</w:t>
      </w:r>
    </w:p>
    <w:p>
      <w:r>
        <w:t>Ներքին ֆինանսավորումը ՓՄՁ-ների համար միջոցների ներգրավման ամենապարզ և հասանելի եղանակն է։ Դրա հիմնական աղբյուրներն են հիմնադիրների անձնական խնայողությունները և ընկերության չբաշխված շահույթը։ Համաշխարհային բանկի հետազոտության տվյալները ցույց են տալիս, որ զարգացող երկրներում նոր ներդրումների զգալի մասը, հատկապես փոքր ընկերությունների դեպքում, իրականացվում է հենց ներքին միջոցների հաշվին [22, էջ 33]։ Այս աղբյուրի գլխավոր առավելությունն այն է, որ ընկերությունը պարտավորություններ չի ստանձնում երրորդ կողմի հանդեպ, չի վճարում տոկոսներ և չի կորցնում կառավարման նկատմամբ վերահսկողությունը։ Սա թույլ է տալիս պահպանել գործունեության ճկունությունն ու ինքնուրույնությունը։ Սակայն ներքին ֆինանսավորումն ունի նաև էական սահմանափակում՝ դրա ծավալը կախված է ընկերության շահութաբերությունից և հիմնադիրների ֆինանսական հնարավորություններից։ Շատ դեպքերում այս միջոցները բավարար չեն լինում զգալի աճ ապահովելու կամ խոշոր ներդրումային ծրագրեր իրականացնելու համար, ինչը ստիպում է ՓՄՁ-ներին դիմել ֆինանսավորման արտաքին աղբյուրների։</w:t>
      </w:r>
    </w:p>
    <w:p>
      <w:r>
        <w:t>Արտաքին ֆինանսավորումը, թեև ավելի բարդ է և պահանջում է լրացուցիչ պարտավորությունների ստանձնում, կարող է ապահովել զարգացման համար անհրաժեշտ կապիտալի զգալի հոսք։ Այն բաժանվում է պարտքային և բաժնային ֆինանսավորման, որոնցից յուրաքանչյուրն ունի իր առանձնահատկությունները։</w:t>
      </w:r>
    </w:p>
    <w:p>
      <w:r>
        <w:t>Պարտքային ֆինանսավորումը ենթադրում է միջոցների ներգրավում՝ դրանք որոշակի ժամկետում տոկոսներով վերադարձնելու պայմանով։ ՓՄՁ-ների համար սա ֆինանսավորման ամենատարածված արտաքին աղբյուրն է։ Դրա հիմնական տեսակներն են բանկային վարկերը, պարտատոմսերի թողարկումը, լիզինգը և առևտրային վարկը։ Բանկերը ՓՄՁ-ների համար արտաքին պարտքային ֆինանսավորման հիմնական աղբյուրն են ինչպես զարգացած, այնպես էլ զարգացող երկրներում [25, էջ 22]։ Սակայն ՓՄՁ-ների համար բանկային վարկերի հասանելիությունը հաճախ սահմանափակ է։ Բանկերը ՓՄՁ-ներին դիտարկում են որպես ավելի ռիսկային հաճախորդներ և, որպես կանոն, առաջարկում են ավելի բարձր տոկոսադրույքներ, պահանջում են զգալի գրավային ապահովում և բարդացնում են փաստաթղթաշրջանառության գործընթացը [22, 1]։ Շատ ՓՄՁ-ներ, հատկապես սկսնակ փուլում, չեն կարողանում բավարարել այս պահանջները, ինչի պատճառով կա՛մ մերժում են ստանում, կա՛մ խուսափում են վարկի համար դիմելուց [1, էջ 3]։</w:t>
      </w:r>
    </w:p>
    <w:p>
      <w:r>
        <w:t>Պարտքային ֆինանսավորման մեկ այլ, թեև ՓՄՁ-ների համար ավելի քիչ տարածված ձև է կորպորատիվ պարտատոմսերի թողարկումը։ Այն թույլ է տալիս ընկերությանը միջոցներ ներգրավել անմիջապես շուկայից՝ ներդրողներին վաճառելով պարտքային արժեթղթեր։ Սակայն պարտատոմսերի շուկայի հասանելիությունը, որպես կանոն, բաց է ավելի խոշոր, հասուն միջին ձեռնարկությունների համար, որոնք հասել են տեղեկատվական թափանցիկության և հեղինակության որոշակի մակարդակի (O'Toole 2014, էջ 2)։ Փոքր և երիտասարդ ընկերությունների մեծամասնության համար այս տարբերակը մնում է անհասանելի՝ հրապարակային առաջարկների հետ կապված բարձր ծախսերի և խիստ պահանջների պատճառով։ Այնուամենայնիվ, այն ընկերությունների համար, որոնք կարող են օգտվել դրանից, սա հնարավորություն է ընձեռում դիվերսիֆիկացնել ֆինանսավորման աղբյուրները և ապահովել երկարաժամկետ կապիտալ։</w:t>
      </w:r>
    </w:p>
    <w:p>
      <w:r>
        <w:t>Լիզինգը (ֆինանսական վարձակալություն) կարճաժամկետ և միջնաժամկետ ֆինանսավորման կարևոր այլընտրանքային գործիք է, որը թույլ է տալիս ՓՄՁ-ներին ձեռք բերել հիմնական միջոցներ (սարքավորումներ, տրանսպորտ)՝ առանց դրանց ամբողջ արժեքը միանվագ վճարելու [31, էջ 4-5]։ Լիզինգի դեպքում լիզինգատու ընկերությունը պահպանում է ակտիվի սեփականության իրավունքը պայմանագրի ողջ ընթացքում, ինչը ծառայում է որպես գրավի երաշխիք և պարզեցնում ակտիվի վերադարձի գործընթացը՝ նվազեցնելով ռիսկերը [31, էջ 5]։ ՓՄՁ-ի համար լիզինգի առավելություններից են ֆինանսավորման ավելի երկար ժամկետները, վարչարարական խոչընդոտների կրճատումը և հարկային արտոնությունները, քանի որ լիզինգային վճարները կարող են նվազեցնել հարկվող շահույթը [15, էջ 1-2]։</w:t>
      </w:r>
    </w:p>
    <w:p>
      <w:r>
        <w:t>Առևտրային վարկը ֆինանսավորման մեկ այլ կարևոր աղբյուր է, որի դեպքում մատակարարները ապրանքներ կամ ծառայություններ են տրամադրում՝ հետաձգված վճարման պայմանով [31, էջ 5]։ Այս գործիքը հատկապես կարևոր է այն փոքր ընկերությունների համար, որոնք դեռևս կայուն բանկային հարաբերություններ չեն հաստատել։ Մատակարարները հաճախ ավելի լավ տեղեկատվություն ունեն իրենց գնորդների մասին և կարող են ավելի ճկուն պայմաններ առաջարկել [31, էջ 5]։ Որոշ ուսումնասիրություններ ցույց են տալիս, որ տնտեսական ցնցումների ժամանակ, երբ բանկային վարկավորումը խստանում է, ՓՄՁ-ներն ավելի ակտիվ են օգտվում առևտրային վարկից՝ որպես փոխարինող գործիք (O'Toole 2014, էջ 1)։</w:t>
      </w:r>
    </w:p>
    <w:p>
      <w:pPr>
        <w:ind w:firstLine="0"/>
        <w:jc w:val="center"/>
      </w:pPr>
      <w:r>
        <w:drawing>
          <wp:inline xmlns:a="http://schemas.openxmlformats.org/drawingml/2006/main" xmlns:pic="http://schemas.openxmlformats.org/drawingml/2006/picture">
            <wp:extent cx="5040000" cy="29400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940000"/>
                    </a:xfrm>
                    <a:prstGeom prst="rect"/>
                  </pic:spPr>
                </pic:pic>
              </a:graphicData>
            </a:graphic>
          </wp:inline>
        </w:drawing>
      </w:r>
    </w:p>
    <w:p>
      <w:pPr>
        <w:ind w:firstLine="0"/>
        <w:jc w:val="center"/>
      </w:pPr>
      <w:r>
        <w:rPr>
          <w:i/>
          <w:sz w:val="20"/>
        </w:rPr>
        <w:t>Նկար 2. Ֆինանսավորման արտաքին աղբյուրների օգտագործումն ըստ ձեռնարկության չափի</w:t>
      </w:r>
    </w:p>
    <w:p>
      <w:pPr>
        <w:spacing w:after="320"/>
        <w:ind w:firstLine="0"/>
        <w:jc w:val="center"/>
      </w:pPr>
      <w:r>
        <w:rPr>
          <w:i/>
          <w:sz w:val="18"/>
        </w:rPr>
        <w:t>Աղբյուր՝ (Beck 2007, էջ 33)</w:t>
      </w:r>
    </w:p>
    <w:p>
      <w:r>
        <w:t>Գծապատկերը ցույց է տալիս, որ ձեռնարկության չափի մեծացման հետ զուգընթաց աճում է ֆորմալ ֆինանսական գործիքների, մասնավորապես՝ բանկային վարկերի և լիզինգի կիրառումը։ Փոքր ընկերությունները համեմատաբար ավելի քիչ են օգտվում բանկային ծառայություններից, ինչը ևս մեկ անգամ ընդգծում է այլընտրանքային աղբյուրների, այդ թվում՝ առևտրային վարկի և ոչ ֆորմալ ֆինանսավորման կարևորությունը նրանց համար [22, էջ 33]։</w:t>
      </w:r>
    </w:p>
    <w:p>
      <w:r>
        <w:t>Բաժնային ֆինանսավորումը ենթադրում է ընկերության սեփականության մի մասի վաճառք ներդրողներին (օրինակ՝ «բիզնես հրեշտակներ», վենչուրային կապիտալի ֆոնդեր)՝ ֆինանսական միջոցների դիմաց։ Ի տարբերություն պարտքի, այս դեպքում ընկերությունը պարտավոր չէ վերադարձնել ստացված գումարը կամ վճարել տոկոսներ։ Սա այն դարձնում է հատկապես գրավիչ երիտասարդ, արագ աճող, բայց ռիսկային ընկերությունների համար, որոնք դժվարանում են պարտք ներգրավել (O'Toole 2014, էջ 2)։ Ներդրողները, բացի ֆինանսական միջոցներից, հաճախ տրամադրում են նաև փորձ, գիտելիք և գործարար կապեր, ինչը կարող է էականորեն նպաստել ընկերության զարգացմանը։ Այս մեթոդի հիմնական թերությունը սեփականության և կառավարման նկատմամբ վերահսկողության մասնակի կորուստն է։ Հիմնադիրները ստիպված են լինում կիսել ապագա շահույթը և որոշումներ կայացնելիս հաշվի առնել ներդրողների կարծիքը։ Այդ պատճառով շատ ՓՄՁ սեփականատերեր խուսափում են այս ճանապարհից, եթե առկա են ֆինանսավորման այլ տարբերակներ։</w:t>
      </w:r>
    </w:p>
    <w:p>
      <w:r>
        <w:t>Այսպիսով, ՓՄՁ ֆինանսավորման աղբյուրի ընտրությունը կախված է բազմաթիվ գործոններից, այդ թվում՝ ընկերության զարգացման փուլից, չափից, ոլորտից և ռիսկայինությունից։ Ֆինանսական զարգացման կենսացիկլի տեսության համաձայն՝ ընկերություններն իրենց գործունեության սկզբնական փուլում, երբ տեղեկատվական անթափանցիկությունը բարձր է, հիմնականում հենվում են ներքին, ոչ ֆորմալ և առևտրային վարկի վրա։ Ընկերության աճին և փորձի կուտակմանը զուգընթաց մեծանում է բանկային վարկավորման և այլ ֆորմալ ֆինանսական գործիքների հասանելիությունը (O'Toole 2014, էջ 2)։ Յուրաքանչյուր աղբյուր ունի իր առավելություններն ու թերությունները, և դրանց ճիշտ համադրումը կարող է ապահովել ձեռնարկության կայուն աճն ու մրցունակությունը։</w:t>
      </w:r>
    </w:p>
    <w:p>
      <w:pPr>
        <w:pStyle w:val="Heading2"/>
      </w:pPr>
      <w:bookmarkStart w:id="105" w:name="_Toc_heading_5"/>
      <w:r>
        <w:t>1.3. Ֆինանսավորման մոդելների և գործիքների տեսական վերլուծություն</w:t>
      </w:r>
      <w:bookmarkEnd w:id="105"/>
    </w:p>
    <w:p>
      <w:r>
        <w:t>Փոքր և միջին ձեռնարկությունների (ՓՄՁ) ֆինանսավորման ռազմավարության ուսումնասիրությունը պահանջում է դիտարկել այն տեսական հիմքերը, որոնք բացատրում են ընկերությունների կապիտալի կառուցվածքի վերաբերյալ որոշումների կայացումը։ Տեսական դաշտում առանձնանում են երկու հիմնական, հաճախ հակադրվող մոտեցումներ՝ փոխզիջումների տեսությունը (Trade-off Theory) և հերթականության տեսությունը (Pecking Order Theory)։ Այս տեսությունների հետ մեկտեղ կարևոր է վերլուծել նաև ֆինանսավորման կոնկրետ գործիքների՝ վարկավորման, լիզինգի, ֆակտորինգի և վենչուրային կապիտալի տեսական հիմունքները, որոնք կազմում են ՓՄՁ-ների համար հասանելի ֆինանսական ռեսուրսների հիմնական շրջանակը։</w:t>
      </w:r>
    </w:p>
    <w:p>
      <w:r>
        <w:t>Կապիտալի կառուցվածքի հիմնական տեսությունները</w:t>
      </w:r>
    </w:p>
    <w:p>
      <w:r>
        <w:t>Ընկերության կապիտալի կառուցվածքի վերաբերյալ որոշումների ընդունումը կորպորատիվ ֆինանսների կառավարման առանցքային ոլորտներից է [30, էջ 83]։</w:t>
      </w:r>
    </w:p>
    <w:p>
      <w:r>
        <w:t>Փոխզիջումների տեսությունը (Trade-off Theory) ենթադրում է, որ ընկերությունները ձգտում են հասնել կապիտալի օպտիմալ կառուցվածքի՝ հավասարակշռելով փոխառու միջոցների օգտագործումից բխող հարկային օգուտները (տոկոսավճարների հաշվին հարկվող շահույթի նվազեցում) և սնանկության աճող ռիսկի հետ կապված ծախսերը [30, 36]։ Այս տեսության շրջանակում ձևակերպվել են մի քանի հիմնական հետազոտական վարկածներ։ Օրինակ, սպասվում է դրական կապ արդյունավետ հարկային դրույքի և պարտքի մակարդակի միջև, քանի որ բարձր հարկերը խթանում են ընկերություններին ավելի շատ պարտք ներգրավել՝ հարկային օգուտներ ստանալու համար [36, էջ 448]։ Միևնույն ժամանակ, ենթադրվում է, որ ավելի բարձր շահութաբերություն ունեցող ընկերությունները կարող են իրենց թույլ տալ ավելի բարձր պարտքային բեռ, քանի որ նրանց համար սնանկության ռիսկն ավելի ցածր է, և նրանք կարող են առավելագույնս օգտվել հարկային վահանից [36, էջ 448-449]։ Սակայն, մյուս կողմից, աճի մեծ հնարավորություններ ունեցող ընկերությունները կարող են խուսափել պարտքի բարձր մակարդակից, քանի որ դա մեծացնում է սնանկության ծախսերը և սահմանափակում ապագա ներդրումային հնարավորությունները [36, էջ 449]։</w:t>
      </w:r>
    </w:p>
    <w:p>
      <w:r>
        <w:t>Հերթականության տեսությունը (Pecking Order Theory), ի տարբերություն փոխզիջումների տեսության, պնդում է, որ ընկերությունները չունեն կապիտալի հստակ սահմանված օպտիմալ կառուցվածք։ Փոխարենը, նրանք ֆինանսավորման աղբյուրներն ընտրում են որոշակի հերթականությամբ կամ հիերարխիայով [36, էջ 446]։ Այս հիերարխիան բխում է կառավարիչների (ներքին տեղեկատվություն ունեցողների) և արտաքին ներդրողների միջև առկա տեղեկատվական անհամաչափությունից (information asymmetry)։ Ըստ այս տեսության՝ ընկերությունները նախապատվությունը տալիս են ներքին ֆինանսավորմանը (չբաշխված շահույթ)։ Եթե ներքին միջոցները բավարար չեն, ընկերությունները դիմում են փոխառու կապիտալի (պարտքի) ներգրավման։ Արտաքին սեփական կապիտալը (բաժնետոմսերի թողարկում) ամենաքիչ նախընտրելի տարբերակն է, քանի որ այն ամենաթանկն է տեղեկատվական ծախսերի տեսանկյունից և կարող է շուկայի կողմից ընկալվել որպես բացասական ազդանշան (օրինակ՝ ընկերության բաժնետոմսերը գերագնահատված են) [30, 28]։</w:t>
      </w:r>
    </w:p>
    <w:p>
      <w:r>
        <w:t>ՓՄՁ-ների համար հերթականության տեսությունը հաճախ համարվում է ավելի կիրառելի։ Դրա պատճառն այն է, որ ՓՄՁ-ների դեպքում տեղեկատվական անհամաչափության խնդիրներն ավելի սուր են արտահայտված, քանի որ նրանց մեծ մասը ցուցակված չէ ֆոնդային բորսայում, և նրանց մասին հանրային տեղեկատվությունը սակավ է կամ անորոշ [36, էջ 446]։ Շատ ուսումնասիրություններ ցույց են տալիս, որ ՓՄՁ-ները հակված են նախ օգտագործել սեփական շահույթը և միայն դրա սպառվելուց հետո դիմել արտաքին պարտքի [36, էջ 448]։ Այնուամենայնիվ, կարևոր է նշել, որ այս երկու տեսությունները պարտադիր չէ, որ լինեն փոխբացառող։ Օրինակ, ընկերությունը կարող է հետևել հերթականության տեսությանը իր ընթացիկ ֆինանսավորման կարիքների համար, բայց միևնույն ժամանակ ունենալ երկարաժամկետ նպատակային պարտքի մակարդակ, որին ձգտում է հասնել՝ համաձայն փոխզիջումների տեսության [36, 30]։</w:t>
      </w:r>
    </w:p>
    <w:p>
      <w:r>
        <w:t>Ֆինանսավորման հիմնական գործիքների տեսական հիմքերը</w:t>
      </w:r>
    </w:p>
    <w:p>
      <w:r>
        <w:t>Կապիտալի կառուցվածքի տեսություններից բացի, անհրաժեշտ է վերլուծել նաև ֆինանսական այն գործիքների տեսական մոդելները, որոնց միջոցով ընկերությունները կարող են միջոցներ ներգրավել։</w:t>
      </w:r>
    </w:p>
    <w:p>
      <w:r>
        <w:t>Վարկավորումը մնում է ՓՄՁ-ների համար արտաքին ֆինանսավորման ամենատարածված ձևը։ Սակայն տեսական տեսանկյունից դրա մոդելն ուղեկցվում է մի շարք խոչընդոտներով, որոնք հատկապես վերաբերում են ՓՄՁ ոլորտին։ Բանկերը, որպես ռիսկից խուսափող կառույցներ, վարկ տրամադրելիս բախվում են տեղեկատվական անհամաչափության խնդրին։ Այս ռիսկը մեղմելու համար բանկերը հաճախ պահանջում են բարձր գրավային ապահովություն և սահմանում են բարձր տոկոսադրույքներ, ինչը շատ ՓՄՁ-ների համար վարկը դարձնում է անհասանելի կամ ոչ շահավետ [15, էջ 136138]։</w:t>
      </w:r>
    </w:p>
    <w:p>
      <w:r>
        <w:t>Լիզինգը կամ ֆինանսական վարձակալությունը ներկայացնում է այլընտրանքային ֆինանսավորման մոդել, որը թույլ է տալիս լուծել վարկավորման հետ կապված որոշ խնդիրներ։ Լիզինգի տեսական հիմքը ակտիվի օգտագործման իրավունքը սեփականության իրավունքից առանձնացնելն է։ Ընկերությունը (լիզինգառուն) ստանում է անհրաժեշտ սարքավորումը կամ գույքը՝ առանց դրա ամբողջ արժեքը միանվագ վճարելու, փոխարենը կատարելով պարբերական վճարումներ [15, էջ 135]։ Լիզինգի հիմնական տեսական առավելությունն այն է, որ լիզինգատուի համար ռիսկը զգալիորեն ցածր է, քանի որ ակտիվի սեփականության իրավունքը մնում է իրեն մինչև պայմանագրի ավարտը։ Այս մեխանիզմը նվազեցնում է գործարքի ռիսկայնությունը և հնարավորություն տալիս ֆինանսավորում տրամադրել նաև այն ՓՄՁ-ներին, որոնք չունեն բավարար գրավ [31, էջ 57]։</w:t>
      </w:r>
    </w:p>
    <w:p>
      <w:r>
        <w:t>Ֆակտորինգը ներկայացնում է ֆինանսավորման մեկ այլ մոդել, որը թույլ է տալիս լուծել ՓՄՁ-ների համար առանցքային իրացվելիության խնդիրը։ Այս գործիքի տեսական հիմքը ընկերության դեբիտորական պարտքերը (հաշիվ-ապրանքագրերը) ֆինանսական գործակալին (ֆակտորին) վաճառելու միջոցով դրամական միջոցների անհապաղ ստացումն է։ Ի տարբերություն ավանդական վարկի, որտեղ գնահատվում է ընկերության ընդհանուր վարկունակությունը և գրավի առկայությունը, ֆակտորինգի մոդելը կենտրոնանում է դեբիտորական պարտքերի որակի վրա։ Սա մեղմում է տեղեկատվական անհամաչափությունը, քանի որ ռիսկի գնահատումը կապվում է կոնկրետ գործարքների, այլ ոչ թե ամբողջ ընկերության հետ, ինչը ֆինանսավորումը հասանելի է դարձնում նաև այն ՓՄՁ-ների համար, որոնք չունեն մեծ ծավալի նյութական ակտիվներ։</w:t>
      </w:r>
    </w:p>
    <w:p>
      <w:r>
        <w:t>Վենչուրային ֆինանսավորումը արմատապես տարբերվում է պարտքային գործիքներից։ Այն բարձր ռիսկային, երկարաժամկետ սեփական կապիտալի ներդրում է երիտասարդ, չցուցակված ընկերություններում, որոնք ունեն աճի մեծ ներուժ [28, էջ 140]։ Վենչուրային կապիտալիստի հիմնական նպատակը ոչ թե տոկոսային եկամուտ ստանալն է, այլ կապիտալի արժեքի էական աճը (capital gain) մի քանի տարի անց՝ ընկերության բաժնետոմսերը վաճառելու միջոցով։ Վենչուրային ֆինանսավորման տեսական մոդելը հիմնված է մի քանի սկզբունքների վրա։ Առաջին՝ վենչուրային կապիտալիստը ոչ միայն պասիվ ֆինանսական ներդրող է, այլև ակտիվ մասնակից ընկերության կառավարման մեջ։ Սա թույլ է տալիս մեղմել տեղեկատվական անհամաչափության խնդիրը և ավելի արդյունավետ վերահսկել ներդրման օգտագործումը [28, էջ 140]։ Երկրորդ՝ վենչուրային ներդրումային գործընթացը խիստ կառուցվածքավորված է և ներառում է մի քանի փուլ՝ գործարքների որոնում (deal origination), նախնական զտում (screening), մանրամասն ուսումնասիրություն (due diligence), որի ընթացքում հատուկ ուշադրություն է դարձվում ձեռներեցի և կառավարման թիմի որակներին, և գործարքի կառուցում (deal structuring) [28, էջ 140]։ Երրորդ՝ վենչուրային ֆինանսավորումը կենսունակ է միայն զարգացած ինստիտուցիոնալ միջավայրի պայմաններում, որը ներառում է համակարգ, որն արդյունավետորեն պաշտպանում է ներդրողների իրավունքները, թափանցիկ հարկային դաշտ և կապիտալի շուկաներ՝ ներդրումից «դուրս գալու» (exit) հնարավորություններ ապահովելու համար [16, 33]։ Այս գործիքը հատկապես կարևոր է ինովացիոն և տեխնոլոգիական «սթարթափների» համար, որոնք չունեն նյութական ակտիվներ՝ որպես գրավ առաջարկելու, սակայն ունեն մտավոր սեփականության վրա հիմնված աճի մեծ ներուժ [6, էջ 87]։</w:t>
      </w:r>
    </w:p>
    <w:p>
      <w:r>
        <w:t>Այսպիսով, ֆինանսավորման տեսական մոդելների վերլուծությունը ցույց է տալիս, որ ՓՄՁ-ների համար ունիվերսալ կամ միակ ճիշտ ֆինանսական ռազմավարություն գոյություն չունի։ Ընտրությունը կախված է ընկերության բնութագրերից (չափ, տարիք, շահութաբերություն, ոլորտ), տեղեկատվական թափանցիկության մակարդակից և զարգացման փուլից։ Հերթականության և փոխզիջումների տեսությունները տրամադրում են հայեցակարգային շրջանակներ՝ հասկանալու համար ֆինանսական որոշումների տրամաբանությունը, իսկ վարկավորման, լիզինգի, ֆակտորինգի և վենչուրային կապիտալի գործիքները ներկայացնում են այդ ռազմավարությունների իրագործման կոնկրետ մեխանիզմներ։</w:t>
      </w:r>
    </w:p>
    <w:p>
      <w:r>
        <w:br w:type="page"/>
      </w:r>
    </w:p>
    <w:p>
      <w:pPr>
        <w:pStyle w:val="Heading1"/>
      </w:pPr>
      <w:bookmarkStart w:id="106" w:name="_Toc_heading_6"/>
      <w:r>
        <w:t>ԳԼՈՒԽ 2. ՓՄՁ-ՆԵՐԻ ՖԻՆԱՆՍԱՎՈՐՄԱՆ ԱՌԿԱ ՎԻՃԱԿԻ ՎԵՐԼՈՒԾՈՒԹՅՈՒՆԸ ՀՀ-ՈՒՄ</w:t>
      </w:r>
      <w:bookmarkEnd w:id="106"/>
    </w:p>
    <w:p>
      <w:pPr>
        <w:pStyle w:val="Heading2"/>
      </w:pPr>
      <w:bookmarkStart w:id="107" w:name="_Toc_heading_7"/>
      <w:r>
        <w:t>2.1. ՀՀ-ում ՓՄՁ-ների ֆինանսավորման ենթակառուցվածքը և պետական աջակցության ծրագրերը</w:t>
      </w:r>
      <w:bookmarkEnd w:id="107"/>
    </w:p>
    <w:p>
      <w:r>
        <w:t>Հայաստանի Հանրապետությունում փոքր և միջին ձեռնարկատիրության (ՓՄՁ) զարգացումը դիտարկվում է որպես կայուն տնտեսական աճի ապահովման կարևորագույն ուղղություններից մեկը։ ՀՀ կառավարության քաղաքականությունը հետևողականորեն ուղղված է եղել ՓՄՁ ոլորտի խթանմանը, քանի որ այն ոչ միայն նպաստում է տնտեսության ճկունությանն ու նորարարական ուղղվածությանը, այլև կարևոր դեր է խաղում նոր աշխատատեղերի ստեղծման, բնակչության կենսամակարդակի բարձրացման և, հատկապես, մարզերի համաչափ զարգացման գործում [12, էջ 2]։ Այս նպատակով տարիների ընթացքում ձևավորվել է աջակցության որոշակի ինստիտուցիոնալ և ծրագրային ենթակառուցվածք, որի վերլուծությունը թույլ է տալիս հասկանալ դրա ուժեղ և թույլ կողմերը։</w:t>
      </w:r>
    </w:p>
    <w:p>
      <w:r>
        <w:t>Օրենսդրական և ինստիտուցիոնալ դաշտը</w:t>
      </w:r>
    </w:p>
    <w:p>
      <w:r>
        <w:t>ՀՀ-ում ՓՄՁ ոլորտը կարգավորող հիմնական իրավական ակտը «Փոքր և միջին ձեռնարկատիրության պետական աջակցության մասին» ՀՀ օրենքն է, որն ընդունվել է 2000 թվականին։ Այս օրենքը սահմանում է աջակցության հիմնական ուղղությունները և ՓՄՁ սուբյեկտների դասակարգման չափանիշները [4, էջ 52]։ Դասակարգումը կատարվում է ըստ աշխատողների թվաքանակի և տարեկան հասույթի կամ ակտիվների արժեքի՝ բաժանվելով գերփոքր, փոքր և միջին կատեգորիաների [13, էջ 7]։ Սակայն, ինչպես նշվում է որոշ վերլուծություններում, այս դասակարգումը գործնականում ավելի շատ հայտարարագրային բնույթ է կրում, քանի որ, օրինակ, ՀՀ հարկային օրենսգիրքը հարկման ռեժիմներ սահմանելիս հիմնականում չի տարանջատում այս խմբերը՝ կիրառելով գրեթե միևնույն պահանջները [13, էջ 9]։</w:t>
      </w:r>
    </w:p>
    <w:p>
      <w:r>
        <w:t>Ինստիտուցիոնալ առումով՝ ՓՄՁ աջակցության քաղաքականության մշակման և համակարգման պատասխանատու մարմինը ՀՀ էկոնոմիկայի նախարարությունն է [9, էջ 3]։ Ծրագրերի իրականացման հիմնական կառույցը 2002 թվականին ՀՀ կառավարության որոշմամբ ստեղծված «Հայաստանի փոքր և միջին ձեռնարկատիրության զարգացման ազգային կենտրոն» հիմնադրամն է (ՓՄՁ ԶԱԿ), որը հետագայում վերանվանվել է «Ձեռնարկություն Հայաստան» [38, էջ 84]։ ՓՄՁ ԶԱԿ-ի գործունեությունն ուղղված է եղել ՓՄՁ-ներին տեխնիկական և ֆինանսական աջակցություն տրամադրելուն, որը հիմնականում իրականացվել է Երևանում և մարզերում գործող մասնաճյուղերի ցանցի միջոցով [1, էջ 123]։</w:t>
      </w:r>
    </w:p>
    <w:p>
      <w:r>
        <w:t>Այս կառույցներից բացի, ՓՄՁ ֆինանսավորման էկոհամակարգում ներգրավված են նաև այլ մասնագիտացված կազմակերպություններ։ Դրանց թվում են «Հայաստանի զարգացման և ներդրումների կորպորացիան» (DICA), որը տրամադրում է վարկեր և լիզինգային ծառայություններ, և «Հայաստանի արտահանման ապահովագրական գործակալությունը» (EIAA), որի նպատակն է խթանել արտահանումը՝ ապահովագրելով արտահանողներին ֆինանսական ռիսկերից [38, էջ 84]։ Ձևավորվել է բազմաշերտ ինստիտուցիոնալ դաշտ, սակայն միջազգային գնահատականների համաձայն՝ այն դեռևս բնութագրվում է որպես «հատվածային, ոչ արդյունավետ և փոքրածավալ» [38, էջ 84]։</w:t>
      </w:r>
    </w:p>
    <w:p>
      <w:r>
        <w:t>Պետական աջակցության հիմնական ծրագրերը</w:t>
      </w:r>
    </w:p>
    <w:p>
      <w:r>
        <w:t>Պետական աջակցության ծրագրերը կարելի է խմբավորել երկու հիմնական ուղղությամբ՝ ֆինանսական և ոչ ֆինանսական (տեխնիկական)։</w:t>
      </w:r>
    </w:p>
    <w:p>
      <w:r>
        <w:t>Ֆինանսական աջակցության գործիքները ներառում են վարկային երաշխավորություններ, սուբսիդավորվող վարկեր և դրամաշնորհներ։ Վարկային երաշխավորությունների տրամադրումը ՓՄՁ ԶԱԿ-ի հիմնական գործիքներից է եղել դեռևս 2003 թվականից [10, էջ 1]։ Այս ծրագիրը նախատեսում է, որ ՓՄՁ ԶԱԿ-ը հանդես գա որպես երաշխավոր ֆինանսական կազմակերպություններից վարկ ստանալու համար, երբ ձեռնարկությունը վարկունակ է, սակայն չունի բավարար գրավ։ Երաշխավորությունը կարող է ծածկել վարկի հիմնական գումարի մինչև 70 %-ը, իսկ սկսնակ ձեռնարկությունների դեպքում՝ մինչև 100 %-ը [24, էջ 31]։ Ինչպես ցույց է տալիս վերլուծությունը, այս գործիքի կիրառումը տարիների ընթացքում անկայուն է եղել. 2013 թվականին տրամադրվել է ռեկորդային 243 երաշխավորություն, սակայն հետագա տարիներին այդ թիվը կտրուկ նվազել է՝ 2016-ին հասնելով ընդամենը 18-ի [14, էջ 257]։</w:t>
      </w:r>
    </w:p>
    <w:p>
      <w:r>
        <w:t>Մյուս կարևոր գործիքը սկսնակ ձեռնարկատերերին ուղղված աջակցությունն է, որը սովորաբար ներառում է ուսուցման բաղադրիչ և ֆինանսավորման հնարավորություն։ Օրինակ, «Սկսնակ գործարարների ձեռներեցությանն աջակցություն» ծրագիրը մասնակիցներին տրամադրում է բիզնեսի կառավարման, ֆինանսական պլանավորման և շուկայավարման գիտելիքներ, ինչից հետո լավագույն բիզնես ծրագրերը կարող են ստանալ ֆինանսավորում [12, էջ 8]։ Ավելի նոր ծրագրերից է «Գաղափարից մինչև բիզնես» նախաձեռնությունը, որի շրջանակում նախատեսվում է տրամադրել մինչև 2,5 մլն դրամի դրամաշնորհ՝ շահառուի կողմից առնվազն 1:1 հարաբերակցությամբ համաֆինանսավորման պայմանով [9, էջ 7-8]։</w:t>
      </w:r>
    </w:p>
    <w:p>
      <w:r>
        <w:t>Ոչ ֆինանսական կամ տեխնիկական աջակցությունը հիմնականում ներառում է գործարար տեղեկատվական, խորհրդատվական և ուսուցողական ծառայություններ։ Սա աջակցության ամենատարածված ձևն է։ Օրինակ, 2016 թվականին ՓՄՁ ԶԱԿ-ի տրամադրած 8959 ընդհանուր աջակցությունից 8695-ը եղել է հենց տեղեկատվական, խորհրդատվական և ուսուցողական բնույթի [12, էջ 2]։ Այս ծառայությունները նպատակ ունեն բարձրացնել ՓՄՁ-ների կարողությունները, իրազեկվածությունը օրենսդրական փոփոխությունների, շուկայի հնարավորությունների և առկա աջակցության գործիքների վերաբերյալ [11, էջ 5-6]։</w:t>
      </w:r>
    </w:p>
    <w:p>
      <w:r>
        <w:t>Ծրագրերի արդյունավետության գնահատում</w:t>
      </w:r>
    </w:p>
    <w:p>
      <w:r>
        <w:t>Պետական աջակցության ծրագրերի արդյունավետությունը գնահատելիս կարելի է առանձնացնել ինչպես դրական, այնպես էլ խնդրահարույց կողմեր։</w:t>
      </w:r>
    </w:p>
    <w:p>
      <w:r>
        <w:t>Դրական տեղաշարժերից է ծրագրերի հասանելիության որոշակի բարելավումը։ Օրինակ, Եվրոպական հանձնաժողովի իրականացրած «Փոքր բիզնեսի ակտի» գնահատման համաձայն՝ 2012-ից 2016 թվականներին Հայաստանը «ֆինանսավորման հասանելիության» ցուցանիշով իր գնահատականը բարելավել է՝ 3-ից հասցնելով 3,5-ի [14, էջ 256]։ Կարևոր է նաև, որ աջակցության ծրագրերը մեծամասամբ ուղղված են մարզերին։ 2016 թվականի տվյալներով աջակցություն ստացած ՓՄՁ սուբյեկտների 96 %-ը գործել են ՀՀ մարզերում, ինչը համահունչ է տարածքային համաչափ զարգացման քաղաքականությանը [12, էջ 3]։</w:t>
      </w:r>
    </w:p>
    <w:p>
      <w:r>
        <w:t>Մյուս կողմից, առկա են մի շարք համակարգային խնդիրներ։ Առաջին հերթին, դա ծրագրերի ֆինանսավորման ծավալների անբավարարությունն է։ Ինչպես նշում է Մարգարյանը (2019), 2010–2018 թվականների ընթացքում ՓՄՁ աջակցության ծրագրերին պետական բյուջեից հատկացումները գրեթե անփոփոխ են մնացել, ինչը «վկայում է ՓՄՁ աջակցության ոլորտում պետական հոգածության ոչ բավարար մակարդակի մասին» (էջ 258)։</w:t>
      </w:r>
    </w:p>
    <w:p>
      <w:r>
        <w:t>Երկրորդ խնդիրը աջակցության ծավալների անկայունությունն է։ Ստորև բերված գծապատկերը ցույց է տալիս ՓՄՁ ԶԱԿ-ի տրամադրած աջակցության ընդհանուր քանակի դինամիկան 2010–2018 թվականներին։</w:t>
      </w:r>
    </w:p>
    <w:p>
      <w:pPr>
        <w:ind w:firstLine="0"/>
        <w:jc w:val="center"/>
      </w:pPr>
      <w:r>
        <w:drawing>
          <wp:inline xmlns:a="http://schemas.openxmlformats.org/drawingml/2006/main" xmlns:pic="http://schemas.openxmlformats.org/drawingml/2006/picture">
            <wp:extent cx="5040000" cy="29400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2940000"/>
                    </a:xfrm>
                    <a:prstGeom prst="rect"/>
                  </pic:spPr>
                </pic:pic>
              </a:graphicData>
            </a:graphic>
          </wp:inline>
        </w:drawing>
      </w:r>
    </w:p>
    <w:p>
      <w:pPr>
        <w:ind w:firstLine="0"/>
        <w:jc w:val="center"/>
      </w:pPr>
      <w:r>
        <w:rPr>
          <w:i/>
          <w:sz w:val="20"/>
        </w:rPr>
        <w:t>Նկար 3. Հայաստանի ՓՄՁ ԶԱԿ-ի կողմից տրամադրված աջակցության ընդհանուր քանակը (2010-2018 թթ.)</w:t>
      </w:r>
    </w:p>
    <w:p>
      <w:pPr>
        <w:spacing w:after="320"/>
        <w:ind w:firstLine="0"/>
        <w:jc w:val="center"/>
      </w:pPr>
      <w:r>
        <w:rPr>
          <w:i/>
          <w:sz w:val="18"/>
        </w:rPr>
        <w:t>Աղբյուր՝ (Զախարյան, 2018, էջ 106)</w:t>
      </w:r>
    </w:p>
    <w:p>
      <w:r>
        <w:t>Ինչպես երևում է գծապատկերից, աջակցության ծավալները ենթարկվել են կտրուկ տատանումների։ 2011 թվականի անկումից հետո 2013-ին գրանցվել է աննախադեպ աճ՝ հասնելով 17 000-ի, որին հաջորդել է նվազման միտում։ Նման անկայունությունը կարող է բացասաբար անդրադառնալ ՓՄՁ-ների կողմից երկարաժամկետ պլանավորման վրա և վկայում է ռազմավարության կամ ֆինանսավորման կանխատեսելիության բացակայության մասին [3, էջ 106]։</w:t>
      </w:r>
    </w:p>
    <w:p>
      <w:r>
        <w:t>Երրորդ մարտահրավերը ՓՄՁ-ների իրազեկվածության ցածր մակարդակն է։ Չնայած խորհրդատվական աջակցության մեծ ծավալներին, շատ ձեռնարկություններ տեղեկացված չեն իրենց համար հասանելի հնարավորություններին, ինչպիսիք են, օրինակ, ԵՄ հետ GSP+ արտոնյալ առևտրի համակարգը [1, էջ 123]։ Սա ստեղծում է մի իրավիճակ, երբ մշակված գործիքները լիարժեք չեն օգտագործվում։</w:t>
      </w:r>
    </w:p>
    <w:p>
      <w:r>
        <w:t>Այսպիսով, Հայաստանում ձևավորվել է ՓՄՁ-ների աջակցության բազմաբնույթ ենթակառուցվածք, որն ընդգրկում է ինչպես իրավական դաշտ, այնպես էլ պետական ինստիտուտներ և կոնկրետ ծրագրեր։ Թեև առկա են դրական արդյունքներ, հատկապես մարզային ընդգրկվածության և ֆինանսական որոշ գործիքների հասանելիության մասով, համակարգի արդյունավետությունը սահմանափակվում է ֆինանսավորման անբավարարությամբ ու անկայունությամբ, ինստիտուցիոնալ հատվածականությամբ և աջակցության գործիքների վերաբերյալ ՓՄՁ-ների ոչ լիարժեք իրազեկվածությամբ։ ՀՀ կառավարության ընդունած վերջին ռազմավարությունները (օրինակ՝ ՓՄՁ զարգացման 2020–2024 թթ. ռազմավարությունը) ուղղված են հենց այս խնդիրների լուծմանը՝ նպատակ ունենալով զարգացնել ֆինանսավորման այլընտրանքային գործիքներ և բարձրացնել պետական աջակցության համակարգի արդյունավետությունը [5, 38]։</w:t>
      </w:r>
    </w:p>
    <w:p>
      <w:pPr>
        <w:pStyle w:val="Heading2"/>
      </w:pPr>
      <w:bookmarkStart w:id="108" w:name="_Toc_heading_8"/>
      <w:r>
        <w:t>2.2. Առևտրային բանկերի դերը ՓՄՁ-ների վարկավորման գործընթացում</w:t>
      </w:r>
      <w:bookmarkEnd w:id="108"/>
    </w:p>
    <w:p>
      <w:r>
        <w:t>Չնայած ֆինանսավորման այլընտրանքային գործիքների առկայությանը՝ գործնականում առևտրային բանկերն են մնում ՓՄՁ-ների համար կապիտալի ներգրավման գլխավոր, իսկ հաճախ՝ միակ հասանելի միջնորդը։ Սակայն, ինչպես ցույց են տալիս բազմաթիվ հետազոտություններ, հենց ֆինանսական ռեսուրսների հասանելիությունն է գործարարության վարման թիվ մեկ խոչընդոտը Հայաստանում [14, էջ 5]։ Այս հակասությունը՝ բանկերի կենտրոնական դերի և միաժամանակ ֆինանսների սահմանափակ հասանելիության միջև, պայմանավորված է մի շարք գործոններով, որոնք վերաբերում են ինչպես վարկավորման պայմաններին, այնպես էլ բանկերի՝ ռիսկերը գնահատելու մոտեցումներին։</w:t>
      </w:r>
    </w:p>
    <w:p>
      <w:r>
        <w:t>Օրինակ, 2012 թվականի վերջի դրությամբ ՓՄՁ-ների ֆինանսավորման ընդհանուր ծավալը գնահատվել է մոտ 817,1 մլն եվրո, որի գերակշիռ մասը՝ 800,2 մլն եվրոն, բաժին էր ընկնում հենց բանկային վարկերին [24, էջ 35]։ Այդ տարում ՓՄՁ վարկերը կազմել են բանկերի ընդհանուր վարկային պորտֆելի 25,8 %-ը։ Հետագա տարիներին ևս բանկային համակարգի ընդհանուր վարկային պորտֆելը շարունակել է աճել՝ 2016 թվականին հասնելով 2,424 տրիլիոն դրամի [15, էջ 6]։ Օրինակ, Ասիական զարգացման բանկի (ԱԶԲ) ծրագրի շրջանակներում «Ամերիաբանկը» և «Արդշինբանկը» զգալիորեն ավելացրել են իրենց ՓՄՁ վարկային պորտֆելները, որոնք հասել են ընդհանուր պորտֆելի 20-25 %-ին [20, էջ 3]։</w:t>
      </w:r>
    </w:p>
    <w:p>
      <w:r>
        <w:t>Օրինակ, Վերակառուցման և զարգացման եվրոպական բանկի (ՎԶԵԲ) և Եվրոպական միության (ԵՄ) նախաձեռնությունների շրջանակներում հայկական բանկերն ակտիվորեն տրամադրում են նպատակային վարկեր։ Դրանք ուղղված են «կանաչ» տեխնոլոգիաների ներդրմանը, կին գործարարների աջակցությանը («Women in Business» ծրագիր) և ՓՄՁ-ների մրցունակության բարձրացմանը՝ ԵՄ չափանիշներին համապատասխանեցնելու նպատակով։ Այս ծրագրերին մասնակցում են համակարգի առաջատար բանկերը, ինչպիսիք են «Ամերիաբանկը», «Ինեկոբանկը», «Արմսվիսբանկը», «Արմէկոնոմբանկը» և «ԱԿԲԱ Բանկը»։ Մասնավորապես, 2020–2022 թթ. այս բանկերը ՎԶԵԲ-ի և այլ գործընկերների միջոցով ներգրավել են տասնյակ միլիոնավոր դոլարների ֆինանսավորում՝ ուղղված վերոնշյալ նպատակներին, ինչպես նաև COVID-19 համավարակից տուժած ՓՄՁ-ների աջակցությանը [35, էջ 30-31]։ Վարկավորման դինամիկան բնութագրվում է ոչ միայն ծավալների պահպանմամբ ու աճով, այլև որակական փոփոխություններով՝ շեշտը դնելով կայուն, ներառական և արտահանմանն ուղղված զարգացման վրա։</w:t>
      </w:r>
    </w:p>
    <w:p>
      <w:r>
        <w:t>Բանկերի՝ ՓՄՁ-ներին տրամադրած վարկերի պայմանները, սակայն, հաճախ խոչընդոտում են դրանց հասանելիությանը։ Հիմնական խնդիրներից են բարձր տոկոսադրույքները, հատկապես ազգային արժույթով վարկերի դեպքում։ 2012–2013 թվականների տվյալներով՝ եթե ԱՄՆ դոլարով վարկերի տոկոսադրույքները միջինում կազմել են 4 %-ից 8 %, ապա դրամային վարկերինը՝ 10 %-ից 15 % [24, էջ 35]։ Այս տարբերությունը մասամբ պայմանավորված է տեղական արժույթով ռեսուրսների ներգրավման և արտարժույթային ռիսկերի հեջավորման բարձր ծախսերով [17, էջ 13]։ Վարկերի մարման ժամկետները նույնպես սահմանափակ են. դրանք հիմնականում տրամադրվում են մինչև 5 տարի ժամկետով [1, 24], ինչը հատկապես խնդրահարույս է կապիտալ ներդրումներ պահանջող երկարաժամկետ ծրագրերի համար։</w:t>
      </w:r>
    </w:p>
    <w:p>
      <w:r>
        <w:t>Բացի ստանդարտ բիզնես վարկերից, որոնք հիմնականում բաժանվում են շրջանառու միջոցների համալրման և կապիտալ ներդրումների ֆինանսավորման, առևտրային բանկերն առաջարկում են նաև այլ վարկատեսակներ։ Դրանց թվում են առևտրի ֆինանսավորման գործիքները, ինչպիսիք են ակրեդիտիվները և առևտրային երաշխիքները։ Թեև այս գործիքները կազմում են ՓՄՁ-ների ընդհանուր ֆինանսավորման փոքր մասը, դրանք կարևոր դեր ունեն արտաքին տնտեսական գործունեություն իրականացնող ձեռնարկությունների համար։ 2012 թվականի դրությամբ, օրինակ, ինը խոշոր բանկերի՝ ՓՄՁ-ներին տրամադրած երաշխիքների ընդհանուր ծավալը կազմել է 13,5 մլն եվրո, իսկ ակրեդիտիվներինը՝ 2,6 մլն եվրո [24, էջ 33]։</w:t>
      </w:r>
    </w:p>
    <w:p>
      <w:r>
        <w:t>Բանկերի վարկային քաղաքականությունը նաև ցուցաբերում է հստակ ոլորտային և աշխարհագրական ուղղվածություն։ Բանկերը նախապատվությունը տալիս են ցածր ռիսկային համարվող ոլորտներին։</w:t>
      </w:r>
    </w:p>
    <w:tbl>
      <w:tblPr>
        <w:tblStyle w:val="TableGrid"/>
        <w:tblW w:type="auto" w:w="0"/>
        <w:tblLayout w:type="autofit"/>
        <w:tblLook w:firstColumn="1" w:firstRow="1" w:lastColumn="0" w:lastRow="0" w:noHBand="0" w:noVBand="1" w:val="04A0"/>
      </w:tblPr>
      <w:tblGrid>
        <w:gridCol w:w="4961"/>
        <w:gridCol w:w="4961"/>
      </w:tblGrid>
      <w:tr>
        <w:tc>
          <w:tcPr>
            <w:tcW w:type="dxa" w:w="4961"/>
          </w:tcPr>
          <w:p>
            <w:r>
              <w:rPr>
                <w:rFonts w:ascii="GHEA Grapalat" w:hAnsi="GHEA Grapalat"/>
                <w:b/>
                <w:sz w:val="24"/>
              </w:rPr>
              <w:t>Ոլորտ</w:t>
            </w:r>
          </w:p>
        </w:tc>
        <w:tc>
          <w:tcPr>
            <w:tcW w:type="dxa" w:w="4961"/>
          </w:tcPr>
          <w:p>
            <w:r>
              <w:rPr>
                <w:rFonts w:ascii="GHEA Grapalat" w:hAnsi="GHEA Grapalat"/>
                <w:b/>
                <w:sz w:val="24"/>
              </w:rPr>
              <w:t>Պորտֆելի տեսակարար կշիռը (%)</w:t>
            </w:r>
          </w:p>
        </w:tc>
      </w:tr>
      <w:tr>
        <w:tc>
          <w:tcPr>
            <w:tcW w:type="dxa" w:w="4961"/>
          </w:tcPr>
          <w:p>
            <w:r>
              <w:rPr>
                <w:rFonts w:ascii="GHEA Grapalat" w:hAnsi="GHEA Grapalat"/>
                <w:sz w:val="24"/>
              </w:rPr>
              <w:t>Առևտուր</w:t>
            </w:r>
          </w:p>
        </w:tc>
        <w:tc>
          <w:tcPr>
            <w:tcW w:type="dxa" w:w="4961"/>
          </w:tcPr>
          <w:p>
            <w:r>
              <w:rPr>
                <w:rFonts w:ascii="GHEA Grapalat" w:hAnsi="GHEA Grapalat"/>
                <w:sz w:val="24"/>
              </w:rPr>
              <w:t>41,9</w:t>
            </w:r>
          </w:p>
        </w:tc>
      </w:tr>
      <w:tr>
        <w:tc>
          <w:tcPr>
            <w:tcW w:type="dxa" w:w="4961"/>
          </w:tcPr>
          <w:p>
            <w:r>
              <w:rPr>
                <w:rFonts w:ascii="GHEA Grapalat" w:hAnsi="GHEA Grapalat"/>
                <w:sz w:val="24"/>
              </w:rPr>
              <w:t>Արտադրություն/արդյունաբերություն</w:t>
            </w:r>
          </w:p>
        </w:tc>
        <w:tc>
          <w:tcPr>
            <w:tcW w:type="dxa" w:w="4961"/>
          </w:tcPr>
          <w:p>
            <w:r>
              <w:rPr>
                <w:rFonts w:ascii="GHEA Grapalat" w:hAnsi="GHEA Grapalat"/>
                <w:sz w:val="24"/>
              </w:rPr>
              <w:t>19,1</w:t>
            </w:r>
          </w:p>
        </w:tc>
      </w:tr>
      <w:tr>
        <w:tc>
          <w:tcPr>
            <w:tcW w:type="dxa" w:w="4961"/>
          </w:tcPr>
          <w:p>
            <w:r>
              <w:rPr>
                <w:rFonts w:ascii="GHEA Grapalat" w:hAnsi="GHEA Grapalat"/>
                <w:sz w:val="24"/>
              </w:rPr>
              <w:t>Գյուղատնտեսություն</w:t>
            </w:r>
          </w:p>
        </w:tc>
        <w:tc>
          <w:tcPr>
            <w:tcW w:type="dxa" w:w="4961"/>
          </w:tcPr>
          <w:p>
            <w:r>
              <w:rPr>
                <w:rFonts w:ascii="GHEA Grapalat" w:hAnsi="GHEA Grapalat"/>
                <w:sz w:val="24"/>
              </w:rPr>
              <w:t>11,3</w:t>
            </w:r>
          </w:p>
        </w:tc>
      </w:tr>
      <w:tr>
        <w:tc>
          <w:tcPr>
            <w:tcW w:type="dxa" w:w="4961"/>
          </w:tcPr>
          <w:p>
            <w:r>
              <w:rPr>
                <w:rFonts w:ascii="GHEA Grapalat" w:hAnsi="GHEA Grapalat"/>
                <w:sz w:val="24"/>
              </w:rPr>
              <w:t>Ծառայություններ</w:t>
            </w:r>
          </w:p>
        </w:tc>
        <w:tc>
          <w:tcPr>
            <w:tcW w:type="dxa" w:w="4961"/>
          </w:tcPr>
          <w:p>
            <w:r>
              <w:rPr>
                <w:rFonts w:ascii="GHEA Grapalat" w:hAnsi="GHEA Grapalat"/>
                <w:sz w:val="24"/>
              </w:rPr>
              <w:t>10,3</w:t>
            </w:r>
          </w:p>
        </w:tc>
      </w:tr>
      <w:tr>
        <w:tc>
          <w:tcPr>
            <w:tcW w:type="dxa" w:w="4961"/>
          </w:tcPr>
          <w:p>
            <w:r>
              <w:rPr>
                <w:rFonts w:ascii="GHEA Grapalat" w:hAnsi="GHEA Grapalat"/>
                <w:sz w:val="24"/>
              </w:rPr>
              <w:t>Այլ</w:t>
            </w:r>
          </w:p>
        </w:tc>
        <w:tc>
          <w:tcPr>
            <w:tcW w:type="dxa" w:w="4961"/>
          </w:tcPr>
          <w:p>
            <w:r>
              <w:rPr>
                <w:rFonts w:ascii="GHEA Grapalat" w:hAnsi="GHEA Grapalat"/>
                <w:sz w:val="24"/>
              </w:rPr>
              <w:t>17,5</w:t>
            </w:r>
          </w:p>
        </w:tc>
      </w:tr>
    </w:tbl>
    <w:p/>
    <w:p>
      <w:r>
        <w:t>Ինչպես երևում է աղյուսակից, առևտուրը կազմում է ՓՄՁ վարկավորման պորտֆելի գրեթե կեսը։ Սա բացատրվում է նրանով, որ առևտրային ձեռնարկություններն ունեն պարզ բիզնես մոդել և ավելի կանխատեսելի դրամական հոսքեր՝ ի տարբերություն գյուղատնտեսության, որը կախված է եղանակային պայմաններից, կամ արտադրության, որտեղ հնարավոր են անսպասելի ծախսեր [24, էջ 33]։ Աշխարհագրական առումով ևս նկատվում է անհամաչափություն. բանկերի մեծ մասի ՓՄՁ վարկային պորտֆելի կեսից ավելին, երբեմն մինչև 75 %-ը, կենտրոնացած է Երևանում, ինչն արտացոլում է տնտեսության ընդհանուր կենտրոնացվածությունը [24, էջ 33]։</w:t>
      </w:r>
    </w:p>
    <w:p>
      <w:r>
        <w:t>ՓՄՁ-ների վարկունակության գնահատման գործընթացում բանկերի մոտեցումները հիմնականում պահպանողական են և հենվում են «կոշտ» տվյալների վրա։ Առաջնային նշանակություն են ունենում ձեռնարկության ֆինանսական կայունությունը, վարկի նպատակը և, ամենակարևորը, գրավի որակը [24, էջ 33]։ Ֆինանսավորման հասանելիության ամենալուրջ խոչընդոտներից մեկը, որը նշվում է գրեթե բոլոր ուսումնասիրություններում, բանկերի պահանջած գրավի բարձր մակարդակն է [14, 24]։ Բանկերը հաճախ պահանջում են 100 %-ը գերազանցող գրավային ապահովում՝ գերադասելով անշարժ գույքը։ Սա անհաղթահարելի խոչընդոտ է դառնում շատ, հատկապես սկսնակ և գյուղական վայրերում գործող ՓՄՁ-ների համար, որոնք չունեն նման ռեսուրսներ [2, 24]։</w:t>
      </w:r>
    </w:p>
    <w:p>
      <w:r>
        <w:t>Այս զգուշավորությունը պայմանավորված է նաև տեղեկատվական անհամաչափությամբ։ ՓՄՁ-ները, հատկապես միկրո և փոքր ձեռնարկությունները, հաճախ ունեն գործունեության ցածր թափանցիկություն և թույլ հաշվետվողականություն, ինչը դժվարացնում է նրանց վարկունակության օբյեկտիվ գնահատումը [14, էջ 5]։ Այս խնդրի լուծմանն են ուղղված վարկային բյուրոների զարգացումը և սեփականատիրոջ անձնական վարկային պատմությունը ձեռնարկության վարկային հայտին կցելու պրակտիկան, որը հատկապես արդյունավետ է միկրոձեռնարկությունների դեպքում [31, էջ 18]։</w:t>
      </w:r>
    </w:p>
    <w:p>
      <w:r>
        <w:t>Չնայած առկա խոչընդոտներին՝ բանկերի դերը չի սահմանափակվում միայն սեփական միջոցներով վարկավորմամբ։ Բազմաթիվ միջազգային կազմակերպություններ, ինչպիսիք են ՎԶԵԲ-ը, ԱԶԲ-ն, KfW-ն, Համաշխարհային բանկը, իրենց նպատակային վարկային գծերն ուղղում են ՓՄՁ-ներին հայաստանյան առևտրային բանկերի միջոցով [24, 35]։ Այս ծրագրերը հաճախ ունեն կոնկրետ թիրախներ, օրինակ՝ «կանաչ» տեխնոլոգիաների ներդրում, կին գործարարների աջակցություն կամ արտահանման ներուժի զարգացում, և առաջարկում են ավելի մատչելի պայմաններ [35, էջ 30]։</w:t>
      </w:r>
    </w:p>
    <w:p>
      <w:r>
        <w:t>Մյուս կողմից, պետությունը, ի դեմս Հայաստանի ՓՄՁ զարգացման ազգային կենտրոնի (ՓՄՁ ԶԱԿ), իրականացնում է մի շարք աջակցության ծրագրեր, որոնք նվազեցնում են բանկերի ռիսկերը։ Դրանցից առանցքայինը վարկային երաշխավորությունների տրամադրումն է, որի շրջանակներում ՓՄՁ ԶԱԿ-ը կարող է ապահովել վարկի գումարի մինչև 70 %-ի երաշխիքը (մինչև 15 մլն դրամ) այն ՓՄՁ-ների համար, որոնք ունեն գրավի անբավարարություն [7, 12]։ Այս մեխանիզմը խթանում է հատկապես մարզերում, սահմանամերձ բնակավայրերում և արտադրության ոլորտում գործող ՓՄՁ-ների վարկավորումը։ Բացի երաշխավորություններից, պետական ծրագրերը ներառում են նաև տոկոսադրույքների սուբսիդավորում՝ վարկային միջոցները ՓՄՁ-ների համար ավելի մատչելի դարձնելու նպատակով [7, էջ 16]։</w:t>
      </w:r>
    </w:p>
    <w:p>
      <w:r>
        <w:t>Այսպիսով, ՀՀ-ում առևտրային բանկերը ՓՄՁ-ների ֆինանսավորման գործում կատարում են երկակի, բայց փոխկապակցված դեր։ Մի կողմից, նրանք հանդես են գալիս որպես ֆինանսական ռեսուրսների հիմնական մատակարար՝ սահմանելով շուկայական պայմաններ, որոնք հաճախ պահպանողական են և հիմնված գրավի առկայության վրա։ Մյուս կողմից, բանկերը վերածվել են պետական և միջազգային աջակցության ծրագրերի իրականացման կարևորագույն խողովակի, որի միջոցով նպատակային, ավելի մատչելի և երկարաժամկետ ֆինանսական միջոցները հասնում են ՓՄՁ-ներին։ Այս համագործակցությունը թույլ է տալիս որոշ չափով մեղմել շուկայական խիստ պահանջները և ուղղորդել ֆինանսական հոսքերը դեպի տնտեսության համար գերակա համարվող ոլորտներ ու տարածաշրջաններ։</w:t>
      </w:r>
    </w:p>
    <w:p>
      <w:pPr>
        <w:pStyle w:val="Heading2"/>
      </w:pPr>
      <w:bookmarkStart w:id="109" w:name="_Toc_heading_9"/>
      <w:r>
        <w:t>2.3. Ֆինանսավորման այլընտրանքային գործիքների (լիզինգ, վենչուրային կապիտալ, քրաուդֆանդինգ) կիրառումը Հայաստանում</w:t>
      </w:r>
      <w:bookmarkEnd w:id="109"/>
    </w:p>
    <w:p>
      <w:r>
        <w:t>Փոքր և միջին ձեռնարկությունների (ՓՄՁ) ֆինանսավորման դաշտը Հայաստանում ավանդաբար կենտրոնացած է բանկային վարկավորման շուրջ։ Սակայն վերջին տարիներին, ի պատասխան ՓՄՁ-ների կարիքների և միջազգային միտումների, սկսել են զարգանալ նաև ֆինանսավորման այլընտրանքային գործիքներ, ինչպիսիք են լիզինգը, վենչուրային կապիտալը և քրաուդֆանդինգը։ Այդուհանդերձ, դրանց ներդրումն ու տարածումը բախվում են ինչպես օրենսդրական, այնպես էլ շուկայական և մշակութային խոչընդոտների։</w:t>
      </w:r>
    </w:p>
    <w:p>
      <w:r>
        <w:t>Լիզինգը կամ ֆինանսական վարձակալությունը ֆինանսավորման գործիք է, որը թույլ է տալիս ձեռնարկությանը ձեռք բերել և օգտագործել հիմնական միջոցներ (սարքավորումներ, տրանսպորտ, տեխնիկա)՝ առանց դրանց ամբողջ արժեքը միանվագ վճարելու։ Լիզինգը մի շարք առավելություններ ունի սովորական վարկի համեմատ․ այն հաճախ պահանջում է ավելի քիչ գրավ, ֆինանսավորման ժամկետներն ավելի երկար են, իսկ վարչարարական ընթացակարգերն ավելի պարզեցված են [15, էջ 2]։</w:t>
      </w:r>
    </w:p>
    <w:p>
      <w:r>
        <w:t>Համաշխարհային մասշտաբով լիզինգի մասնաբաժինը ներդրումային աղբյուրների կազմում հասնում է 30 %-ի, մինչդեռ Հայաստանում առևտրային բանկերի ընդհանուր ակտիվներում դրա մասնաբաժինը վերջին տարիներին կազմել է ընդամենը 0,1 % [15, էջ 1]։ Շուկան եղել է խիստ կենտրոնացված. դեռևս 2013 թվականին «ԱԿԲԱ Լիզինգ» ընկերությունը վերահսկում էր շուկայի մոտ 92 %-ը [24, էջ 19]։ Ընկերությունը, որը հիմնադրվել է 2003 թվականին, մինչ օրս մնում է բացարձակ առաջատար՝ շուկայի մոտ 80 % մասնաբաժնով [15, էջ 3]։ Շուկայի զարգացմանը խոչընդոտել են նաև օրենսդրական բացերը։ Օրինակ, ի տարբերություն վարկով ձեռք բերված սարքավորումների, լիզինգով ներմուծվող սարքավորումների համար ԱԱՀ-ի վճարման հետաձգման արտոնությունը չի կիրառվել, ինչը նվազեցրել է լիզինգի գրավչությունը [24, էջ 19]։</w:t>
      </w:r>
    </w:p>
    <w:p>
      <w:r>
        <w:t>Ուշագրավ է, սակայն, վերջին շրջանի դինամիկան, որը վկայում է իրավիճակի փոփոխության մասին։ ՀՀ էկոնոմիկայի նախարարության՝ 2022–2024 թվականներին իրականացրած «Արտադրողականության խթանման նպատակային ծրագիրը», որը նախատեսում էր մեքենա-սարքավորումների ձեռքբերման վարկերի և լիզինգի տոկոսադրույքների սուբսիդավորում, տվել է տպավորիչ արդյունքներ։ Ծրագրի շրջանակներում ձևավորված 367,5 մլրդ դրամ ընդհանուր պորտֆելի շուրջ 70 %-ը բաժին է ընկել հենց լիզինգին և միայն 30 %-ը՝ վարկին [5, էջ 16]։ Հատկապես ակտիվ է գյուղատնտեսության ոլորտը, որտեղ պետական սուբսիդավորման շնորհիվ ֆերմերները կարող են ձեռք բերել տեխնիկա տարեկան 2 % տոկոսադրույքով [15, էջ 3]։ Հետևաբար, եթե նախկինում լիզինգի շուկան Հայաստանում գրեթե սաղմնային վիճակում էր, ապա պետական նպատակային ծրագրերը դարձել են հզոր կատալիզատոր՝ այն դարձնելով ՓՄՁ-ների արդիականացման ֆինանսավորման կարևոր գործիքներից մեկը։</w:t>
      </w:r>
    </w:p>
    <w:p>
      <w:r>
        <w:t>Վենչուրային կապիտալը երկարաժամկետ, բարձր ռիսկային ներդրում է նորաստեղծ կամ արագ աճող ընկերություններում, որոնք ունեն նորարարական ներուժ։ Ի տարբերություն բանկերի՝ վենչուրային հիմնադրամները տրամադրում են ոչ թե պարտք, այլ կապիտալ՝ ընկերությունում բաժնեմաս ձեռք բերելու դիմաց։ Հայաստանում, չնայած բարձր տեխնոլոգիաների, հատկապես ՏՏ ոլորտի զգալի աճին, վենչուրային ֆինանսավորման էկոհամակարգը դեռևս կայացման փուլում է և բախվում է համակարգային խնդիրների։</w:t>
      </w:r>
    </w:p>
    <w:p>
      <w:r>
        <w:t>Դեռևս 2013 թվականին Հայաստանում ակտիվ գործող վենչուրային կապիտալի ֆիրմաներ չկային, իսկ մասնավոր կապիտալի միակ խոշոր խաղացողը տարածաշրջանային «Caucasus Growth Fund»-ն էր [24, էջ 26]։ Բացակայում էին նաև «բիզնես հրեշտակների» հայտնի ցանցերը [24, էջ 19]։ Իրավիճակը փոքր-ինչ փոխվել է այնպիսի հիմնադրամների գրանցմամբ, ինչպիսին էր «Granatus Ventures Fund I»-ը, սակայն հիմնախնդիրները մնում են [24, էջ 26]։ Դրանցից առանցքայինը գյուտերի և նորարարությունների շուկայացման (առևտրայնացման) ցածր գործակիցն է [16, էջ 8]։ Հայաստանում ձևավորվել է «չափազանց թույլ և մասնատված ինովացիոն համակարգ», որտեղ գրեթե բացակայում է կապը գիտահետազոտական ինստիտուտների, համալսարանների և մասնավոր հատվածի միջև [6, էջ 59]։ Պետական ֆինանսավորումը հիմնականում ուղղվում է հիմնարար գիտությանը, ոչ թե տեխնոլոգիաների զարգացմանն ու կիրառմանը, ինչի հետևանքով նորարարական գաղափարները հաճախ չեն վերածվում կոմերցիոն արդյունքի [6, էջ 59-60]։</w:t>
      </w:r>
    </w:p>
    <w:p>
      <w:r>
        <w:t>Օրինակ՝ անցկացվել են տեխնոլոգիական ընկերությունների համար համաֆինանսավորվող դրամաշնորհային մրցույթներ, իսկ վենչուրային համաժողովի շրջանակում՝ «Գաղափարից դեպի շուկա» մրցույթ՝ սկսնակ թիմերի համար [8, էջ 140]։ Սակայն, ինչպես նշվում է, Հայաստանում վենչուրային ֆինանսավորում ստացած ընկերությունների մեծ մասը հաճախ արտասահմանյան համատեղ նախագծեր են, ինչը ռիսկ է ստեղծում, որ դրանցից ստացված ֆինանսական արդյունքները կարող են դուրս գալ երկրից [6, էջ 78]։</w:t>
      </w:r>
    </w:p>
    <w:p>
      <w:r>
        <w:t>Մյուս խոչընդոտը ֆինանսական շուկաների թերզարգացածությունն է։ Վենչուրային ներդրողի համար կարևոր է ոչ միայն ներդրում կատարելը, այլև մի քանի տարի անց իր բաժնեմասը վաճառելու և շահույթ ստանալու հնարավորությունը («ելքի» ռազմավարություն)։ Հայաստանում արժեթղթերի շուկան ցածր իրացվելիություն ունի, ինչը դժվարացնում է նման ելքերի իրականացումը [16, էջ 9]։ Բացի այդ, առկա է նաև մշակութային գործոն. հայ գործարարները հաճախ նախընտրում են մնալ իրենց բիզնեսի միակ սեփականատերը և դժկամությամբ են կիսում որոշումների կայացման լիազորությունները արտաքին ներդրողների հետ [24, էջ 19]։</w:t>
      </w:r>
    </w:p>
    <w:p>
      <w:r>
        <w:t>Պետական և միջազգային կառույցների աջակցությամբ ստեղծվել են այնպիսի կառույցներ, ինչպիսիք են «Ձեռնարկությունների ինկուբատոր» հիմնադրամը (EIF) և Ինովացիոն լուծումների և տեխնոլոգիաների կենտրոնը, որոնք աջակցում են ՏՏ ստարտափներին [6, էջ 59]։ Մասնագիտական գրականության մեջ որպես լուծում առաջարկվում է ներդնել հարկային արտոնություններ վենչուրային ներդրումների համար (օրինակ՝ շահութահարկից ազատում), պարզեցնել հիմնադրամների կարգավորումը և ուսումնասիրել կենսաթոշակային ֆոնդերի «երկար փողերը» դեպի վենչուրային շուկա ուղղելու հնարավորությունը [16, էջ 9]։</w:t>
      </w:r>
    </w:p>
    <w:p>
      <w:r>
        <w:t>Քրաուդֆանդինգը (անգլ.՝ crowdfunding, բառացի՝ «ամբոխի ֆինանսավորում») համեմատաբար նոր գործիք է, որը թույլ է տալիս ստարտափներին և ՓՄՁ-ներին կապիտալ ներգրավել մեծ թվով մարդկանցից՝ սովորաբար առցանց հարթակների միջոցով։ Հայաստանում այս ոլորտի զարգացման համար վճռորոշ դեր է խաղացել օրենսդրական դաշտի ստեղծումը։</w:t>
      </w:r>
    </w:p>
    <w:p>
      <w:r>
        <w:t>2022 թվականին ՀՀ կենտրոնական բանկը, ՎԶԵԲ-ի աջակցությամբ, հաստատեց կարգավորումների փաթեթ, որն իրավական հիմք ստեղծեց բաժնային քրաուդֆանդինգի գործունեության համար [18, էջ 6]։ Այս բարեփոխումը թույլ տվեց Հայաստանում լիցենզավորել առաջին մասնագիտացված հարթակները։ Այս շրջանակում առաջին լիցենզավորված հարթակը դարձավ ARFI-ն, որը 2022 թվականին իր գործունեության ընթացքում հյուրընկալեց չորս նախագիծ՝ հանգանակելով ավելի քան 3 մլն ԱՄՆ դոլար։ Թեև այս հարթակը ներկայումս ակտիվ չէ, նրա փորձը ցույց տվեց, որ շուկայում պահանջարկ կա [18, էջ 6]։ 2024 թվականին լիցենզավորվեց նոր հարթակ՝ Eqwefy-ը, որն իր գործունեությունը սկսեց երկու արշավով՝ ընդհանուր 40 000 եվրո արժողությամբ [18, էջ 6]։</w:t>
      </w:r>
    </w:p>
    <w:p>
      <w:r>
        <w:t>Հայաստանի փորձը համահունչ է միջազգային օրինակներին, որտեղ հստակ օրենսդրական դաշտի ստեղծումը դարձել է շուկայի աճի հիմնական խթանը։ Օրինակ, Բրազիլիայում և Մալայզիայում համապատասխան կարգավորումների ընդունումից հետո բաժնային քրաուդֆանդինգի ծավալները կտրուկ աճել են [39, էջ 62-63]։ Սակայն, ինչպես նշվում է Համաշխարհային բանկի հետազոտության մեջ, զարգացող շուկաներում բաժնային քրաուդֆանդինգը կարող է ավելի դանդաղ աճել՝ ներդրողների համար բարձր ռիսկերի և ընկերությունների՝ արտաքին ներդրողների համար բացվելու դժկամության պատճառով [39, էջ 64]։ Այս մարտահրավերը հատկապես արդիական է Հայաստանի համար, որտեղ, ինչպես նշվեց վենչուրային կապիտալի դեպքում, սեփականության նկատմամբ վերահսկողությունը պահպանելու մշակույթը դեռևս ուժեղ է։</w:t>
      </w:r>
    </w:p>
    <w:p>
      <w:r>
        <w:t>Այսպիսով, ֆինանսավորման այլընտրանքային գործիքների շուկան Հայաստանում անհավասարաչափ զարգացում է ապրում։ Լիզինգը, պետական աջակցության շնորհիվ, վերջին տարիներին զգալի առաջընթաց է գրանցել՝ դառնալով սարքավորումների ձեռքբերման գործուն մեխանիզմ։ Վենչուրային կապիտալի էկոհամակարգը մնում է ամենաթույլ օղակը՝ տառապելով համակարգային խնդիրներից, որոնք խոչընդոտում են նորարար գաղափարների առևտրայնացմանը։ Քրաուդֆանդինգը, լինելով ամենանոր գործիքը, արդեն ունի իրավական հիմք և առաջին գործող հարթակները, սակայն դրա երկարաժամկետ հաջողությունը դեռևս կախված է ներդրողների վստահության ձևավորումից և շուկայի հետագա զարգացումից։ Ընդհանուր առմամբ, այս գործիքների ներուժը ՓՄՁ-ների ֆինանսավորման համար մեծ է, սակայն դրա իրացումը պահանջում է շարունակական և համալիր քայլեր՝ ուղղված ինչպես օրենսդրական դաշտի բարելավմանը, այնպես էլ ինստիտուցիոնալ և մշակութային խոչընդոտների հաղթահարմանը։</w:t>
      </w:r>
    </w:p>
    <w:p>
      <w:r>
        <w:br w:type="page"/>
      </w:r>
    </w:p>
    <w:p>
      <w:pPr>
        <w:pStyle w:val="Heading1"/>
      </w:pPr>
      <w:bookmarkStart w:id="110" w:name="_Toc_heading_10"/>
      <w:r>
        <w:t>ԳԼՈՒԽ 3. ՀՀ-ՈՒՄ ՓՄՁ-ՆԵՐԻ ՖԻՆԱՆՍԱՎՈՐՄԱՆ ԽՆԴԻՐՆԵՐԸ ԵՎ ԶԱՐԳԱՑՄԱՆ ՀԵՌԱՆԿԱՐՆԵՐԸ</w:t>
      </w:r>
      <w:bookmarkEnd w:id="110"/>
    </w:p>
    <w:p>
      <w:pPr>
        <w:pStyle w:val="Heading2"/>
      </w:pPr>
      <w:bookmarkStart w:id="111" w:name="_Toc_heading_11"/>
      <w:r>
        <w:t>3.1. ՓՄՁ-ների ֆինանսավորման հասանելիության հիմնախնդիրները Հայաստանում</w:t>
      </w:r>
      <w:bookmarkEnd w:id="111"/>
    </w:p>
    <w:p>
      <w:r>
        <w:t>Փոքր և միջին ձեռնարկությունների զարգացման համար ֆինանսական ռեսուրսների հասանելիությունը կարևորագույն նախապայման է։ Սակայն Հայաստանում իրականացված բազմաթիվ ուսումնասիրություններ ցույց են տալիս, որ հենց ֆինանսների հասանելիությունն է ՓՄՁ-ների առջև ծառացած թիվ մեկ խոչընդոտը։ Այս եզրակացությանն են հանգում ինչպես միջազգային կազմակերպությունների զեկույցները, այնպես էլ տեղական հետազոտությունները [1, 14, 21]։ Համաշխարհային բանկի «Ձեռնարկությունների հետազոտության» 2020 թվականի տվյալներով՝ հայ գործարարների 30 %-ը հենց ֆինանսների հասանելիությունն է նշել որպես բիզնեսի վարման հիմնական խոչընդոտ [21, էջ 14]։ Այս խնդիրը համալիր բնույթ ունի և բաղկացած է մի քանի փոխկապակցված բաղադրիչներից, որոնց վերլուծությունը թույլ է տալիս հասկանալ դրա խորքային պատճառները։</w:t>
      </w:r>
    </w:p>
    <w:p>
      <w:r>
        <w:t>Վարկային ռեսուրսների բարձր արժեք և սահմանափակ հասանելիություն</w:t>
      </w:r>
    </w:p>
    <w:p>
      <w:r>
        <w:t>Ամենաակնառու խնդիրը ֆինանսական ռեսուրսների բարձր գինն է։ Ձեռնարկատերերը մշտապես բախվում են բարձր տոկոսադրույքների, մարման կարճ ժամկետների, վարկավորման բարդ ընթացակարգերի և դրանց ուղեկցող բյուրոկրատական քաշքշուկների հետ [1, 2, 17]։ Ընդ որում, բյուրոկրատական խոչընդոտները ներառում են ոչ միայն պահանջվող փաստաթղթերի մեծ ծավալն ու վարկային հայտի քննության երկարատևությունը, այլև ընդհանուր դժվարին գործարար միջավայրը, որը միջազգային կառույցները գնահատում են որպես Հայաստանում մրցունակությանը խոչընդոտող հիմնական մարտահրավեր [17, էջ 44]։ Շատ դեպքերում բանկերը ՓՄՁ-ներին առաջարկում են մեկ տարուց պակաս մարման ժամկետով վարկեր, ինչը հատկապես անբարենպաստ է երկարաժամկետ ներդրումներ պահանջող արտադրական ոլորտի համար [17, էջ 40]։</w:t>
      </w:r>
    </w:p>
    <w:p>
      <w:r>
        <w:t>Այս պայմանները հանգեցնում են մի իրավիճակի, երբ ՓՄՁ-ների զգալի մասը պարզապես խուսափում է դիմել բանկային վարկավորման համար [1, էջ 122]։ Արդյունքում ձեռնարկությունները ստիպված են լինում հիմնականում հույսը դնել սեփական կամ ներգրավված ոչ ֆորմալ միջոցների վրա։ Աշխատանքի միջազգային կազմակերպության հետազոտությունը ցույց է տվել, որ հարցված ընկերությունների 82 %-ը կարծում է, որ սեփական միջոցներով ֆինանսավորումը Հայաստանում հիմնական աղբյուրն է [29, էջ 53]։ ՎԶԵԲ-ի և Համաշխարհային բանկի ավելի վաղ կատարած ուսումնասիրությունը նույնպես փաստում էր, որ հիմնական միջոցների ձեռքբերումների մոտ 75 %-ը ֆինանսավորվել է ներքին ռեսուրսների հաշվին [14, էջ 254]։ Սա վկայում է ոչ միայն ֆինանսական միջնորդության թերզարգացվածության, այլև ՓՄՁ-ների աճի ներուժի սահմանափակման մասին, քանի որ ներքին միջոցները հաճախ բավարար չեն ընդլայնման և արդիականացման համար։</w:t>
      </w:r>
    </w:p>
    <w:p>
      <w:r>
        <w:t>Գրավի խիստ պահանջներ</w:t>
      </w:r>
    </w:p>
    <w:p>
      <w:r>
        <w:t>Ֆինանսավորման մերժման կամ դրա պայմանների խստացման հիմնական պատճառներից մեկը բանկերի պահանջած գրավի բարձր արժեքն է։ Բանկերը, փորձելով նվազեցնել իրենց ռիսկերը, հաճախ պահանջում են գրավ, որի արժեքը զգալիորեն գերազանցում է վարկի գումարը։ Արժույթի միջազգային հիմնադրամի տվյալներով՝ Հայաստանում վարկի համար անհրաժեշտ գրավի արժեքը տարածաշրջանում ամենաբարձրերից է [21, էջ 16]։ Խնդիրը խորացնում է այն հանգամանքը, որ բանկերը հիմնականում որպես գրավ ընդունում են անշարժ գույք, ինչը շատ սկսնակ կամ փոքր ձեռնարկություններ պարզապես չունեն [24, էջ 30]։</w:t>
      </w:r>
    </w:p>
    <w:p>
      <w:r>
        <w:t>Սա ստեղծում է փակ շրջան․ բիզնեսը զարգացնելու համար անհրաժեշտ է վարկ, իսկ վարկ ստանալու համար՝ գրավ, որը ձեռք բերելու համար անհրաժեշտ են միջոցներ։ Շատ ՓՄՁ-ներ, հատկապես գյուղական վայրերում, դուրս են մնում այս գործընթացից [24, էջ 30]։ Իրավիճակը բարդացնում է նաև այն, որ գրավի ապահովման այլընտրանքային մեխանիզմները, ինչպիսիք են վարկային երաշխավորությունները, թեև գոյություն ունեն, սակայն դեռևս լայն տարածում չունեն և հաճախ անհասանելի են [29, էջ 56]։</w:t>
      </w:r>
    </w:p>
    <w:p>
      <w:r>
        <w:t>Տեղեկատվական անհամաչափություն և ցածր ֆինանսական թափանցիկություն</w:t>
      </w:r>
    </w:p>
    <w:p>
      <w:r>
        <w:t>Բանկերի զգուշավորության և գրավի խիստ պահանջների հիմքում ընկած է ավելի խորքային մի խնդիր՝ տեղեկատվական անհամաչափությունը (information asymmetry)։ Սա այն իրավիճակն է, երբ վարկառուն (ՓՄՁ-ն) իր բիզնեսի մասին ավելի շատ տեղեկատվություն ունի, քան վարկատուն (բանկը)։ Տեսականորեն, այս անհամաչափությունը բերում է երկու հիմնական ռիսկի՝ անբարենպաստ ընտրության (adverse selection), երբ բանկը չի կարողանում տարբերել լավ և վատ վարկառուներին, և բարոյական ռիսկի (moral hazard), երբ վարկառուն վարկը ստանալուց հետո կարող է գործել ավելի ռիսկային [22, էջ 10]։</w:t>
      </w:r>
    </w:p>
    <w:p>
      <w:r>
        <w:t>Հայաստանի պարագայում այս տեսական խնդիրներն ունեն գործնական դրսևորումներ։ ՓՄՁ-ների ֆինանսական թափանցիկության ցածր մակարդակը, ոչ պատշաճ հաշվապահական հաշվառումը և ստվերային տնտեսության բարձր տեսակարար կշիռը բանկերի համար գրեթե անհնարին են դարձնում վարկառուի իրական ֆինանսական վիճակը և դրամական հոսքերը գնահատելը [21, 14]։ Չունենալով հուսալի տվյալներ՝ բանկերը ստիպված են բոլոր ՓՄՁ-ներին դիտարկել որպես պոտենցիալ բարձր ռիսկային և կիրառել պաշտպանության միակ հասանելի գործիքը՝ բարձր տոկոսադրույք և խիստ գրավային պահանջ։</w:t>
      </w:r>
    </w:p>
    <w:p>
      <w:r>
        <w:t>Ձեռնարկատերերի ցածր ֆինանսական գրագիտություն և այլընտրանքների բացակայություն</w:t>
      </w:r>
    </w:p>
    <w:p>
      <w:r>
        <w:t>Խնդիրը միայն մատակարարման՝ այսինքն՝ բանկերի կողմում չէ։ Պահանջարկի կողմում նույնպես առկա են խոչընդոտներ, որոնցից գլխավորը ֆինանսական ցածր գրագիտությունն է։ ՏՀԶԿ-ի 2018 թվականի գնահատմամբ՝ Հայաստանում ֆինանսական գրագիտության միջին գնահատականը 21-ից 11,4 է, ինչը զգալիորեն ցածր է թե՛ ՏՀԶԿ երկրների, թե՛ Հարավարևելյան Եվրոպայի միջին ցուցանիշներից [21, էջ 13]։</w:t>
      </w:r>
    </w:p>
    <w:p>
      <w:r>
        <w:t>Գործնականում սա նշանակում է, որ շատ ձեռնարկատերեր տեղյակ չեն ֆինանսավորման այլընտրանքային գործիքներին, չեն կարողանում կազմել որակյալ բիզնես ծրագիր կամ գնահատել իրենց վարկային պարտավորությունների հետևանքները [2, 24]։ Իրազեկվածության պակասը հանգեցնում է նրան, որ նույնիսկ առկա պետական աջակցության ծրագրերը կամ արտոնյալ համակարգերը (օրինակ՝ GSP+) լիարժեք չեն օգտագործվում [1, էջ 122]։</w:t>
      </w:r>
    </w:p>
    <w:p>
      <w:r>
        <w:t>Միաժամանակ, Հայաստանում թերզարգացած են ֆինանսավորման այլընտրանքային՝ ոչ բանկային աղբյուրները։ Լիզինգը, ֆակտորինգը, վենչուրային կապիտալը և բաժնետիրական ֆինանսավորումը դեռևս գտնվում են զարգացման սաղմնային փուլում [17, 15]։ Սա նշանակում է, որ բանկային վարկը մնում է արտաքին ֆինանսավորման գրեթե միակ տարբերակը, ինչն էլ ավելի է սրում վերոնշյալ խնդիրները։ Աշխատանքի միջազգային կազմակերպության հարցման արդյունքները ևս հաստատում են այս պատկերը։</w:t>
      </w:r>
    </w:p>
    <w:p>
      <w:pPr>
        <w:ind w:firstLine="0"/>
        <w:jc w:val="center"/>
      </w:pPr>
      <w:r>
        <w:drawing>
          <wp:inline xmlns:a="http://schemas.openxmlformats.org/drawingml/2006/main" xmlns:pic="http://schemas.openxmlformats.org/drawingml/2006/picture">
            <wp:extent cx="5040000" cy="294000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2940000"/>
                    </a:xfrm>
                    <a:prstGeom prst="rect"/>
                  </pic:spPr>
                </pic:pic>
              </a:graphicData>
            </a:graphic>
          </wp:inline>
        </w:drawing>
      </w:r>
    </w:p>
    <w:p>
      <w:pPr>
        <w:ind w:firstLine="0"/>
        <w:jc w:val="center"/>
      </w:pPr>
      <w:r>
        <w:rPr>
          <w:i/>
          <w:sz w:val="20"/>
        </w:rPr>
        <w:t>Նկար 4. Ֆինանսական պրոդուկտների հարմարեցվածությունը ՓՄՁ կարիքներին, %</w:t>
      </w:r>
    </w:p>
    <w:p>
      <w:pPr>
        <w:spacing w:after="320"/>
        <w:ind w:firstLine="0"/>
        <w:jc w:val="center"/>
      </w:pPr>
      <w:r>
        <w:rPr>
          <w:i/>
          <w:sz w:val="18"/>
        </w:rPr>
        <w:t>Աղբյուր՝ (International Labour Office; Enterprises Department, 2016, էջ 56)</w:t>
      </w:r>
    </w:p>
    <w:p>
      <w:r>
        <w:t>Ինչպես երևում է գծապատկերից, հարցված ընկերությունների ճնշող մեծամասնությունը (37,7 %) գտնում է, որ ֆինանսական գործիքները բոլորովին հարմարեցված չեն ՓՄՁ-ների կարիքներին, և միայն 4,3 %-ն է կարծում, որ դրանք ամբողջությամբ համապատասխանում են։</w:t>
      </w:r>
    </w:p>
    <w:p>
      <w:r>
        <w:t>Այսպիսով, Հայաստանում ՓՄՁ-ների ֆինանսավորման հասանելիության խնդիրը բազմաշերտ է։ Այն պայմանավորված է ինչպես վարկային ռեսուրսների բարձր գնով ու խիստ գրավային պահանջներով, այնպես էլ ավելի խորքային պատճառներով, ինչպիսիք են տեղեկատվական անհամաչափությունը, ձեռնարկությունների ցածր թափանցիկությունը, ձեռնարկատերերի ֆինանսական ոչ բավարար գրագիտությունը և ֆինանսավորման այլընտրանքային շուկաների թերզարգացվածությունը։ Այս խոչընդոտները փոխադարձաբար ուժեղացնում են միմյանց՝ ստեղծելով մի միջավայր, որտեղ ՓՄՁ-ների զգալի մասի համար ֆինանսական ռեսուրսները մնում են անհասանելի՝ արգելակելով նրանց աճն ու զարգացումը։</w:t>
      </w:r>
    </w:p>
    <w:p>
      <w:pPr>
        <w:pStyle w:val="Heading2"/>
      </w:pPr>
      <w:bookmarkStart w:id="112" w:name="_Toc_heading_12"/>
      <w:r>
        <w:t>3.2. Ֆինանսավորման գործիքների կատարելագործման և շուկայի զարգացման ուղիները</w:t>
      </w:r>
      <w:bookmarkEnd w:id="112"/>
    </w:p>
    <w:p>
      <w:r>
        <w:t>Նախորդ բաժնում կատարված վերլուծությունը ցույց տվեց, որ ֆինանսական ռեսուրսների հասանելիությունը շարունակում է մնալ ՀՀ փոքր և միջին ձեռնարկատիրության (ՓՄՁ) զարգացման գլխավոր խոչընդոտներից մեկը [21, 1]։ Խնդիրը համակարգային է և պայմանավորված է ինչպես բանկային համակարգի պահպանողական քաղաքականությամբ, մասնավորապես գրավի բարձր պահանջներով, այնպես էլ ֆինանսավորման այլընտրանքային գործիքների թերզարգացվածությամբ ու ՓՄՁ-ների ֆինանսական ցածր գրագիտությամբ։</w:t>
      </w:r>
    </w:p>
    <w:p>
      <w:r>
        <w:t>Հայաստանում վարկի համար պահանջվող գրավի արժեքը զգալիորեն բարձր է, ինչը հատկապես սուր խնդիր է սկսնակ և գյուղական վայրերում գործող ձեռնարկությունների համար [21, էջ 15]։ Այս պայմաններում վարկային երաշխավորությունների տրամադրումը դառնում է պետական աջակցության կարևորագույն գործիքներից մեկը։</w:t>
      </w:r>
    </w:p>
    <w:p>
      <w:r>
        <w:t>Այս գործիքը նոր չէ. դեռևս 2003 թվականից Հայաստանի ՓՄՁ զարգացման ազգային կենտրոնը (ՓՄՁ ԶԱԿ, ներկայումս՝ «Enterprise Armenia») իրականացրել է ֆինանսական աջակցության ծրագրեր, որոնց առանցքում երաշխավորությունների տրամադրումն է [10, էջ 1]։ Օրինակ՝ 2012 թվականի ծրագրով նախատեսվում էր, որ երաշխավորության գումարը չի կարող գերազանցել վարկային պարտավորության 70 %-ը և 15 մլն դրամը՝ մինչև 5 տարի ժամկետով [7, էջ 15]։ Նմանատիպ պայմաններ պահպանվել են նաև հետագա տարիներին, ընդ որում՝ սկսնակ գործարարների համար երաշխավորությունը կարող էր ծածկել վարկային պարտավորության մինչև 100 %-ը [12, էջ 13-14]։</w:t>
      </w:r>
    </w:p>
    <w:p>
      <w:r>
        <w:t>Սակայն, ինչպես ցույց է տալիս վիճակագրությունը, երաշխավորությունների տրամադրման ծավալները կայուն չեն եղել։</w:t>
      </w:r>
    </w:p>
    <w:p>
      <w:pPr>
        <w:ind w:firstLine="0"/>
        <w:jc w:val="center"/>
      </w:pPr>
      <w:r>
        <w:drawing>
          <wp:inline xmlns:a="http://schemas.openxmlformats.org/drawingml/2006/main" xmlns:pic="http://schemas.openxmlformats.org/drawingml/2006/picture">
            <wp:extent cx="5040000" cy="294000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2940000"/>
                    </a:xfrm>
                    <a:prstGeom prst="rect"/>
                  </pic:spPr>
                </pic:pic>
              </a:graphicData>
            </a:graphic>
          </wp:inline>
        </w:drawing>
      </w:r>
    </w:p>
    <w:p>
      <w:pPr>
        <w:ind w:firstLine="0"/>
        <w:jc w:val="center"/>
      </w:pPr>
      <w:r>
        <w:rPr>
          <w:i/>
          <w:sz w:val="20"/>
        </w:rPr>
        <w:t>Նկար 5. Հայաստանի ՓՄՁ ԶԱԿ-ի կողմից տրամադրված երաշխավորությունների քանակը, 2011-2017 թթ.</w:t>
      </w:r>
    </w:p>
    <w:p>
      <w:pPr>
        <w:spacing w:after="320"/>
        <w:ind w:firstLine="0"/>
        <w:jc w:val="center"/>
      </w:pPr>
      <w:r>
        <w:rPr>
          <w:i/>
          <w:sz w:val="18"/>
        </w:rPr>
        <w:t>Աղբյուր՝ (ՄԱՐԳԱՐՅԱՆ 2019, էջ 257)</w:t>
      </w:r>
    </w:p>
    <w:p>
      <w:r>
        <w:t>Գծապատկերից երևում է, որ 2013–2014 թվականներին գործիքը բավականին ակտիվ է կիրառվել, սակայն հետագայում տրամադրված երաշխավորությունների թիվը կտրուկ նվազել է, ինչը կարող է վկայել ծրագրի ֆինանսավորման կամ իրականացման մեխանիզմների անկայունության մասին։ Միաժամանակ, Մարգարյանի (2019) ուսումնասիրությունը ցույց է տալիս, որ թեև ՓՄՁ աջակցության պետական բյուջեից հատկացումները 2010–2018 թթ. գրեթե անփոփոխ են մնացել, դրանք հիմնականում ուղղվել են ՓՄՁ ԶԱԿ-ի վարչական ծախսերի ֆինանսավորմանը, ինչը հարցեր է առաջացնում պետության կողմից իրական ֆինանսական աջակցության մակարդակի վերաբերյալ [14, էջ 258]։</w:t>
      </w:r>
    </w:p>
    <w:p>
      <w:r>
        <w:t>Պետությունը՝ ՀՀ կենտրոնական բանկի հետ համատեղ, պետք է ավելացնի երաշխավորությունների տրամադրման համար նախատեսված ֆոնդերի ծավալը։ Կարևոր է նաև մեխանիզմն ավելի ճկուն դարձնել՝ առաջարկելով տարբերակված պայմաններ՝ կախված ՓՄՁ-ի գործունեության ոլորտից։ Օրինակ՝ արտահանման ներուժ ունեցող, նորարարական տեխնոլոգիաներ կիրառող կամ սահմանամերձ համայնքներում գործող ընկերությունների համար կարելի է սահմանել ավելի բարձր երաշխավորության սահմանաչափ կամ ավելի ցածր սպասարկման վճար։</w:t>
      </w:r>
    </w:p>
    <w:p>
      <w:r>
        <w:t>Հայաստանում ՓՄՁ-ների ֆինանսավորումը գրեթե ամբողջությամբ կախված է բանկային վարկավորումից, մինչդեռ այլընտրանքային գործիքները, ինչպիսիք են լիզինգը և ֆակտորինգը, շատ փոքր դեր ունեն [24, 38]։</w:t>
      </w:r>
    </w:p>
    <w:p>
      <w:r>
        <w:t>Լիզինգը թույլ է տալիս ձեռնարկություններին ձեռք բերել անհրաժեշտ սարքավորումներ և տեխնիկա՝ առանց միանվագ մեծ կապիտալ ներդրումների և լրացուցիչ գրավի պահանջի, քանի որ լիզինգի առարկան ինքնին ապահովություն է [15, էջ 8]։ Սակայն Հայաստանում լիզինգի զարգացմանը խոչընդոտում են մի շարք գործոններ։ Օրինակ՝ 300 000 ԱՄՆ դոլարը գերազանցող սարքավորումների ներմուծման դեպքում ՓՄՁ-ները կարող են օգտվել ԱԱՀ-ի վճարման մինչև երկու տարով հետաձգման հնարավորությունից, սակայն այս արտոնությունը չի տարածվում լիզինգով ձեռք բերվող սարքավորումների վրա, ինչը լիզինգն ավելի քիչ գրավիչ է դարձնում [24, էջ 29]։</w:t>
      </w:r>
    </w:p>
    <w:p>
      <w:r>
        <w:t>Ֆակտորինգն իր հերթին թույլ է տալիս ընկերություններին ֆինանսավորում ստանալ՝ բանկին զիջելով իրենց գնորդներից ունեցած դեբիտորական պարտքերը։ Այս դեպքում ֆինանսավորումը հիմնվում է ոչ թե ՓՄՁ-ի, այլ նրա գնորդի (որը հաճախ ավելի խոշոր և վարկունակ ընկերություն է) վճարունակության վրա [38, էջ 71]։ Սակայն Հայաստանում ֆակտորինգի զարգացումը սահմանափակ է, քանի որ այն կարգավորվում է Քաղաքացիական օրենսգրքի ընդհանուր դրույթներով, և բացակայում է դրա վերաբերյալ հատուկ օրենք [38, էջ 71]։</w:t>
      </w:r>
    </w:p>
    <w:p>
      <w:r>
        <w:t>Այլընտրանքային ֆինանսավորումը խթանելու համար անհրաժեշտ են հետևյալ քայլերը.</w:t>
      </w:r>
    </w:p>
    <w:p>
      <w:r>
        <w:t>1.  Օրենսդրական բարեփոխումներ։ Անհրաժեշտ է մշակել և ընդունել «Ֆակտորինգի մասին» առանձին օրենք, որը հստակ կսահմանի գործարքի կողմերին, նրանց իրավունքներն ու պարտականությունները և կանխատեսելի միջավայր կստեղծի ֆինանսական կազմակերպությունների համար։</w:t>
      </w:r>
    </w:p>
    <w:p>
      <w:r>
        <w:t>2.  Հարկային խթաններ։ Պետք է վերանայել հարկային օրենսդրությունը՝ վերացնելու համար լիզինգի նկատմամբ առկա խտրական մոտեցումները։ Մասնավորապես, ԱԱՀ-ի հետաձգման արտոնությունը պետք է տարածվի նաև լիզինգային գործարքների վրա, ինչը կհավասարեցնի դրա մրցակցային պայմանները վարկավորման հետ։</w:t>
      </w:r>
    </w:p>
    <w:p>
      <w:r>
        <w:t>3.  Իրազեկման բարձրացում։ Պետական աջակցության կառույցները՝ մասնավոր բանկերի հետ համատեղ, պետք է իրականացնեն իրազեկման արշավներ՝ ՓՄՁ-ներին ներկայացնելով այս գործիքների առավելությունները։</w:t>
      </w:r>
    </w:p>
    <w:p>
      <w:r>
        <w:t>Համաշխարհային բանկի ձեռնարկությունների հարցման համաձայն՝ Հայաստանում ձեռնարկատերերի համար ֆինանսների հասանելիությունից հետո երկրորդ գլխավոր խոչընդոտը ոչ ֆորմալ (ստվերային) հատվածի գործունեությունն է [21, էջ 14]։ Բարձր ստվերը, թերի հաշվապահությունը և կորպորատիվ թափանցիկության ցածր մակարդակը ստեղծում են տեղեկատվական անհամաչափություն, որի պատճառով բանկերը չեն կարողանում համարժեք գնահատել ՓՄՁ-ի ռիսկերը և, որպես հետևանք, պահանջում են չափազանց բարձր գրավ կամ սահմանում են բարձր տոկոսադրույքներ [21, էջ 15]։</w:t>
      </w:r>
    </w:p>
    <w:p>
      <w:r>
        <w:t>Բացի այդ, Հայաստանում ֆինանսական գրագիտության ընդհանուր մակարդակը բարելավման կարիք ունի։ Ըստ ՏՀԶԿ-ի ուսումնասիրության՝ Հայաստանում չափահասների միայն 27 %-ն է հասել ֆինանսական գիտելիքի նվազագույն շեմին, մինչդեռ Հարավարևելյան Եվրոպայում այդ ցուցանիշը մոտ 60 % է [21, էջ 13]։</w:t>
      </w:r>
    </w:p>
    <w:p>
      <w:r>
        <w:t>Ֆինանսական գրագիտության և ձեռնարկատիրական հմտությունների զարգացում։ ՓՄՁ ԶԱԿ-ը («Enterprise Armenia») տարիներ շարունակ իրականացրել է ուսուցողական, խորհրդատվական և տեղեկատվական աջակցության ծրագրեր [3, 1]։ Այս ծրագրերը պետք է շարունակվեն և խորացվեն՝ հատուկ շեշտադրում կատարելով ֆինանսական կառավարման, հաշվապահական հաշվառման միջազգային ստանդարտներին համապատասխան հաշվետվությունների պատրաստման և իրատեսական բիզնես ծրագրեր կազմելու վրա։</w:t>
      </w:r>
    </w:p>
    <w:p>
      <w:r>
        <w:t>Թափանցիկության խթանում։ Պետությունը կարող է խթանել թափանցիկ գործունեությունը՝ առաջարկելով արտոնություններ այն ընկերություններին, որոնք անցնում են կամավոր աուդիտի կամ հրապարակում են իրենց ֆինանսական հաշվետվությունները։ Սա ոչ միայն կհեշտացնի վարկավորումը, այլև հիմք կստեղծի կապիտալի շուկայի զարգացման համար, քանի որ վենչուրային և մասնավոր կապիտալի ներդրողների համար թափանցիկությունը գործունեության հիմնական նախապայմանն է [38, էջ 70]։</w:t>
      </w:r>
    </w:p>
    <w:p>
      <w:r>
        <w:t>Բանկային և այլընտրանքային ֆինանսավորման գործիքների կողքին երկարաժամկետ կայուն զարգացման համար կարևոր ուղղություն է կապիտալի շուկայի զարգացումը, որը ՓՄՁ-ներին հնարավորություն կտա ֆինանսական միջոցներ ներգրավել ուղղակիորեն ներդրողներից՝ թողարկելով պարտատոմսեր։</w:t>
      </w:r>
    </w:p>
    <w:p>
      <w:r>
        <w:t>Ներկայումս Հայաստանում ՓՄՁ-ների համար կապիտալի շուկան գործնականում անհասանելի է։ Դրա հիմնական պատճառներից է կորպորատիվ թափանցիկության ցածր մակարդակը, որը խոչընդոտում է կապիտալի շուկայում արժեթղթերի հնարավոր թողարկումներին [21, էջ 15]։ Բացի այդ, պարտատոմսերի թողարկման հետ կապված ծախսերն ու բարդ ընթացակարգերը կարող են անհաղթահարելի լինել փոքր ընկերությունների համար։</w:t>
      </w:r>
    </w:p>
    <w:p>
      <w:r>
        <w:t>Այնուամենայնիվ, տեղական արժույթով պարտատոմսերի թողարկումը Հայաստանում արդեն հաջողված և շարունակական գործընթաց է միջազգային ֆինանսական կառույցների համար, ինչը վկայում է շուկայի ներուժի մասին [17, էջ 13]։</w:t>
      </w:r>
    </w:p>
    <w:p>
      <w:r>
        <w:t>1.  ՓՄՁ-ների համար պարզեցված կարգավորումների ստեղծում։ Կարելի է մշակել հատուկ հարթակ կամ կարգավորիչ «սենդբոքս» (փորձարարական միջավայր) ՓՄՁ-ների կողմից պարտատոմսերի թողարկման համար։ Այն կարող է ներառել հաշվետվությունների և բացահայտումների ավելի պարզ պահանջներ, ինչը կնվազեցնի թողարկման հետ կապված վարչական և ֆինանսական բեռը։</w:t>
      </w:r>
    </w:p>
    <w:p>
      <w:r>
        <w:t>2.  Պետական խթանների տրամադրում։ Պետությունը կարող է խրախուսել ՓՄՁ-ներին՝ մուտք գործելու կապիտալի շուկա՝ մասնակիորեն սուբսիդավորելով առաջին թողարկման հետ կապված ծախսերը (օրինակ՝ իրավաբանական, վարկանիշավորման կամ բորսայում ցուցակման վճարները)։</w:t>
      </w:r>
    </w:p>
    <w:p>
      <w:r>
        <w:t>3.  Ինստիտուցիոնալ պահանջարկի զարգացում։ Կենսաթոշակային ֆոնդերի և այլ ինստիտուցիոնալ ներդրողների կուտակած միջոցները կարող են դառնալ ՓՄՁ-ների կողմից թողարկված պարտատոմսերի պահանջարկի կարևոր աղբյուր [38, էջ 70]։ Դրա համար անհրաժեշտ է ստեղծել համապատասխան իրավական և կարգավորիչ դաշտ, որը թույլ կտա նման ֆոնդերին ներդրումներ կատարել ՓՄՁ-ների արժեթղթերում՝ ռիսկերի կառավարման հստակ մեխանիզմների առկայության պայմանով։</w:t>
      </w:r>
    </w:p>
    <w:p>
      <w:r>
        <w:t>Հայաստանում ՓՄՁ-ների ֆինանսավորման խնդիրները լուծելու համար անհրաժեշտ է անցում կատարել առանձին, հաճախ հատվածական միջոցառումներից դեպի համապարփակ և փոխկապակցված քաղաքականություն։ Վարկային երաշխավորությունների ընդլայնումը կարող է տալ կարճաժամկետ արդյունք՝ լուծելով գրավի հրատապ խնդիրը։ Միջնաժամկետ հեռանկարում կենսական է լիզինգի և ֆակտորինգի համար իրավահարկային դաշտի բարելավումը՝ շուկան դիվերսիֆիկացնելու համար։ Իսկ երկարաժամկետ կայուն զարգացումը պահանջում է երկու հիմնական ուղղություն՝ մի կողմից ֆինանսական գրագիտության բարձրացում և կորպորատիվ թափանցիկության մշակույթի ձևավորում, մյուս կողմից՝ կապիտալի շուկայի ենթակառուցվածքների զարգացում՝ մասնավորապես ՓՄՁ-ների համար պարտատոմսերի թողարկումը հասանելի դարձնելով։ Այս քայլերը համատեղ ճանապարհ կբացեն՝ բանկային ֆինանսավորմանը զուգահեռ ավելի բազմազան աղբյուրներից միջոցներ ներգրավելու համար՝ պահանջելով պետության, ֆինանսական հատվածի և հենց ՓՄՁ-ների համատեղ ու հետևողական ջանքեր։</w:t>
      </w:r>
    </w:p>
    <w:p>
      <w:pPr>
        <w:pStyle w:val="Heading2"/>
      </w:pPr>
      <w:bookmarkStart w:id="113" w:name="_Toc_heading_13"/>
      <w:r>
        <w:t>3.3. Միջազգային փորձի կիրառման հնարավորությունները ՀՀ ՓՄՁ ֆինանսավորման համակարգի բարելավման համար</w:t>
      </w:r>
      <w:bookmarkEnd w:id="113"/>
    </w:p>
    <w:p>
      <w:r>
        <w:t>Հայաստանում ՓՄՁ ֆինանսավորման ոլորտում առկա մարտահրավերները, մասնավորապես ֆինանսական ռեսուրսների սահմանափակ հասանելիությունը, բարձր տոկոսադրույքները և խիստ գրավային պահանջները, եզակի չեն [14, էջ 1]։ Զարգացած և զարգացող բազմաթիվ երկրներ, այդ թվում՝ տարածաշրջանային հարևանները, ինչպիսին է Վրաստանը, բախվել են նմանատիպ խնդիրների և մշակել են պետական աջակցության տարբեր գործիքներ՝ դրանք հաղթահարելու համար։ Վրաստանի փորձը, որտեղ ՓՄՁ-ների մասնաբաժինը ՀՆԱ-ում զգալիորեն ավելի բարձր է [14, էջ 3], իսկ օտարերկրյա ուղղակի ներդրումների ներհոսքը՝ ավելի ակտիվ [16, էջ 52], ցույց է տալիս տարածաշրջանային համեմատության կարևորությունը։ Այդ փորձի ուսումնասիրությունը, ինչպես նաև տարածաշրջանային այլ երկրների՝ մասնավորապես Թուրքիայի և Ռուսաստանի կողմից կիրառվող կոնկրետ գործիքների վերլուծությունը, կարևոր նշանակություն ունի Հայաստանի համար՝ տեղական պայմաններին հարմարեցված արդյունավետ լուծումներ գտնելու և կիրառելու տեսանկյունից։</w:t>
      </w:r>
    </w:p>
    <w:p>
      <w:r>
        <w:t>Պետական աջակցության հիմնական մոդելները միջազգային պրակտիկայում</w:t>
      </w:r>
    </w:p>
    <w:p>
      <w:r>
        <w:t>Պետությունների միջամտությունը ՓՄՁ-ների ֆինանսավորմանը սովորաբար նպատակ ունի լրացնելու շուկայական բացերը, այսինքն՝ աջակցել այնտեղ, որտեղ մասնավոր ֆինանսական հատվածը չի գործում կամ անարդյունավետ է գործում [25, էջ 42]։ Միջազգային պրակտիկայում ձևավորվել են պետական աջակցության մի քանի հիմնական մոդելներ, որոնք կարելի է խմբավորել հետևյալ կերպ։</w:t>
      </w:r>
    </w:p>
    <w:p>
      <w:r>
        <w:t>1. Ուղղակի ֆինանսավորում և զարգացման բանկեր։ Այս մոդելը ենթադրում է, որ պետությունը մասնագիտացված կառույցների միջոցով ուղղակիորեն վարկեր է տրամադրում ՓՄՁ-ներին։ Այսպիսի մոտեցման դասական օրինակներ են Գերմանիայի KfW զարգացման բանկը և Ֆրանսիայի Bpifrance-ը։ Օրինակ, համաշխարհային ֆինանսական ճգնաժամի ժամանակ KfW-ն գործարկեց «Հատուկ ծրագիր»՝ մեծացնելով իր պարտավորությունների ծավալը [27, էջ 59]։ Նմանատիպ կառույցներ գործում են նաև զարգացող երկրներում, ինչպիսիք են Մեքսիկան, որտեղ 2016 թվականին զարգացման բանկերը տրամադրել են ՓՄՁ վարկերի մոտ մեկ երրորդը, և տարածաշրջանային երկրներից՝ Թուրքիան, որտեղ զարգացման բանկերի մասնաբաժինը կազմում է ՓՄՁ վարկավորման մոտ 3 %-ը։ Այս համատեքստում ուշագրավ է նաև Ռուսաստանի փորձը, որտեղ «ՓՄՁ աջակցության ռուսական բանկը» (JSC Russian Bank for Small and Medium Enterprises Support) ֆինանսական օժանդակություն է տրամադրում ոչ միայն ուղղակիորեն ՓՄՁ-ներին, այլև աջակցում է լիզինգային ու ֆակտորինգային ընկերություններին, բիզնెస్ ինկուբատորներին և տեխնոպարկերին [27, էջ 6061]։</w:t>
      </w:r>
    </w:p>
    <w:p>
      <w:r>
        <w:t>2. Ռիսկերի մեղմացման սխեմաներ (վարկային երաշխավորություններ)։ Սա թերևս աջակցության ամենատարածված ձևն է, որի դեպքում պետությունը ոչ թե ուղղակիորեն գումար է տրամադրում, այլ կիսում է ռիսկը առևտրային բանկերի հետ՝ տրամադրելով երաշխիքներ ՓՄՁ-ների վարկերի դիմաց։ Այս մոտեցումը թույլ է տալիս մեղմել գրավի անբավարարության խնդիրը, որը Հայաստանում ՓՄՁ-ների համար առանցքային խոչընդոտներից է [14, էջ 1]։ Բազմաթիվ երկրներ հաջողությամբ կիրառում են այս մոդելը։ Օրինակ՝</w:t>
      </w:r>
    </w:p>
    <w:p>
      <w:r>
        <w:t>Կանադայի «Փոքր բիզնեսի ֆինանսավորման ծրագիրը» 10 տարվա ընթացքում ապահովել է 9,5 միլիարդ դոլարի ֆինանսավորում [27, էջ 66]։</w:t>
      </w:r>
    </w:p>
    <w:p>
      <w:r>
        <w:t>Հարավային Կորեայում պետական երաշխավորող հաստատությունների կողմից տրված երաշխիքների մնացորդը 2017 թվականի վերջին կազմել է 89,7 տրիլիոն վոն [27, էջ 67]։</w:t>
      </w:r>
    </w:p>
    <w:p>
      <w:r>
        <w:t>Միացյալ Թագավորությունում Բրիտանական բիզնես բանկը (British Business Bank), որը 100 %-ով պետական սեփականություն է, իր «Ձեռնարկությունների ֆինանսավորման երաշխիք» (Enterprise Finance Guarantee) սխեմայի միջոցով աջակցում է բանկային վարկավորմանը [27, էջ 68]։</w:t>
      </w:r>
    </w:p>
    <w:p>
      <w:r>
        <w:t>Տարածաշրջանային երկրների փորձը։ Թուրքիան 2017 թվականին ներդրել է վարկային երաշխավորման հիմնադրամ (Credit Guarantee Fund), իսկ Ռուսաստանում «ՓՄՁ կորպորացիան» 2017 թվականին տրամադրել է 118,9 միլիարդ ռուբլու երաշխիքներ [27, էջ 67]։</w:t>
      </w:r>
    </w:p>
    <w:p>
      <w:r>
        <w:t>3. Այլընտրանքային ֆինանսավորման խթանում։ Բանկային համակարգից կախվածությունը նվազեցնելու և ֆինանսավորման աղբյուրները դիվերսիֆիկացնելու նպատակով շատ երկրներ խթանում են կապիտալի շուկայի վրա հիմնված գործիքների զարգացումը։ Այս մոտեցումները հատկապես կարևոր են նորարար և արագ աճող ընկերությունների համար։</w:t>
      </w:r>
    </w:p>
    <w:p>
      <w:r>
        <w:t>Արժեթղթավորում (Securitization)։ Այս մեխանիզմը թույլ է տալիս բանկերին իրենց ՓՄՁ վարկային պորտֆելները «փաթեթավորել» և վաճառել որպես արժեթղթեր՝ այդպիսով ազատելով ռեսուրսներ նոր վարկավորման համար։ Իսպանիայում 1998–1999 թվականներին ստեղծված FTYMPE ծրագիրը հենց այս նպատակն ուներ. պետությունը երաշխավորում էր թողարկվող արժեթղթերի որոշակի տրանշեր, իսկ վարկերը վաճառած բանկերը պարտավորվում էին հասույթի առնվազն 80 %-ը վերաներդնել ՓՄՁ-ների նոր վարկերի մեջ [39, էջ 36]։ Հատկանշական է, որ այս մոդելի փորձնական կիրառում տեղի է ունեցել նաև Հայաստանում, երբ USAID-ի աջակցությամբ ստեղծվել է հատուկ նշանակության հիմնադրամ (SPV)՝ հինգ ունիվերսալ վարկային կազմակերպությունների (ՈՒՎԿ) միկրովարկային պորտֆելների արժեթղթավորման համար։ Այն Հայաստանում արժեթղթավորված առաջին պարտատոմսն էր, որի հիմնական գնորդներից էին կենսաթոշակային ֆոնդերը [39, էջ 37]։</w:t>
      </w:r>
    </w:p>
    <w:p>
      <w:r>
        <w:t>«Մինի-պարտատոմսեր» և քրաուդֆանդինգ։ Իտալիան 2012 թվականից օրենսդրական փոփոխություններով թույլ տվեց չցուցակված միջին ընկերություններին թողարկել այսպես կոչված «մինի-պարտատոմսեր»։ Այդ պարտատոմսերում ներդրումները խթանելու համար պետությունը տրամադրում էր երաշխիքներ և հարկային արտոնություններ։ Արդյունքում, 2022 թվականի դրությամբ ավելի քան 1000 ընկերություն թողարկել էր մինի-պարտատոմսեր, որոնցից 65 %-ը ՓՄՁ-ներ էին [25, էջ 73]։ Մեկ այլ հետաքրքիր օրինակ է Կոլումբիան, որտեղ 2019 թվականին գործարկվեց A2censo պարտքային քրաուդֆանդինգային հարթակը։ Այս դեպքում ևս պետությունը ներգրավված է. Ազգային երաշխավորման հիմնադրամը ծածկում է ներդրողների կորուստների մինչև 50 %-ը, իսկ պետական զարգացման բանկը՝ Bancoldex-ը, համաներդրում է կատարում յուրաքանչյուր թողարկման մինչև 20 %-ի չափով [25, էջ 73-74]։</w:t>
      </w:r>
    </w:p>
    <w:p>
      <w:r>
        <w:t>4. Վենչուրային կապիտալի էկոհամակարգերի խթանում։ Ի տարբերություն պարտքային ֆինանսավորման, այս մոդելն ուղղված է բարձր աճի ներուժ ունեցող, նորարարական և տեխնոլոգիական ընկերություններին սեփական կապիտալում ներդրումների միջոցով աջակցելուն։ Պետության դերը ոչ թե ուղղակի ֆինանսավորումն է, այլ այնպիսի էկոհամակարգի ստեղծումը, որը գրավիչ կլինի մասնավոր վենչուրային ներդրողների համար։ Այս ոլորտում դասական օրինակ է Իսրայելը, որտեղ պետությունը հսկայական ներդրումներ է կատարում գիտահետազոտական և փորձակոնստրուկտորական աշխատանքների (ԳՓԿԱ) մեջ (ՀՆԱ-ի ավելի քան 4 %-ը)՝ ստեղծելով նորարարությունների հզոր հոսք, որն էլ իր հերթին սնում է վենչուրային արդյունաբերությունը [16, էջ 52]։ Հայաստանի զարգացման մակարդակին ավելի համադրելի օրինակ է Էստոնիան, որտեղ պետական աջակցության և բարենպաստ միջավայրի շնորհիվ հաջողվել է զգալիորեն ավելացնել սկսնակ ընկերություններում վենչուրային կապիտալի ներգրավումը՝ 2016 թվականին հասցնելով այն 10 մլն ԱՄՆ դոլարի, ինչը զգալիորեն գերազանցում է Հայաստանի ցուցանիշը [16, էջ 53]։ Այս մոդելները սովորաբար ներառում են համաներդրումային հիմնադրամների ստեղծում (որտեղ պետությունը կիսում է ռիսկը մասնավոր ներդրողների հետ), հարկային արտոնություններ վենչուրային ներդրումների համար և օրենսդրական դաշտի պարզեցում։</w:t>
      </w:r>
    </w:p>
    <w:tbl>
      <w:tblPr>
        <w:tblStyle w:val="TableGrid"/>
        <w:tblW w:type="auto" w:w="0"/>
        <w:tblLayout w:type="autofit"/>
        <w:tblLook w:firstColumn="1" w:firstRow="1" w:lastColumn="0" w:lastRow="0" w:noHBand="0" w:noVBand="1" w:val="04A0"/>
      </w:tblPr>
      <w:tblGrid>
        <w:gridCol w:w="2480"/>
        <w:gridCol w:w="2480"/>
        <w:gridCol w:w="2480"/>
        <w:gridCol w:w="2480"/>
      </w:tblGrid>
      <w:tr>
        <w:tc>
          <w:tcPr>
            <w:tcW w:type="dxa" w:w="2480"/>
          </w:tcPr>
          <w:p>
            <w:r>
              <w:rPr>
                <w:rFonts w:ascii="GHEA Grapalat" w:hAnsi="GHEA Grapalat"/>
                <w:b/>
                <w:sz w:val="24"/>
              </w:rPr>
              <w:t>Աջակցության մոդել</w:t>
            </w:r>
          </w:p>
        </w:tc>
        <w:tc>
          <w:tcPr>
            <w:tcW w:type="dxa" w:w="2480"/>
          </w:tcPr>
          <w:p>
            <w:r>
              <w:rPr>
                <w:rFonts w:ascii="GHEA Grapalat" w:hAnsi="GHEA Grapalat"/>
                <w:b/>
                <w:sz w:val="24"/>
              </w:rPr>
              <w:t>Երկիր (կառույց)</w:t>
            </w:r>
          </w:p>
        </w:tc>
        <w:tc>
          <w:tcPr>
            <w:tcW w:type="dxa" w:w="2480"/>
          </w:tcPr>
          <w:p>
            <w:r>
              <w:rPr>
                <w:rFonts w:ascii="GHEA Grapalat" w:hAnsi="GHEA Grapalat"/>
                <w:b/>
                <w:sz w:val="24"/>
              </w:rPr>
              <w:t>Հիմնական առանձնահատկությունը</w:t>
            </w:r>
          </w:p>
        </w:tc>
        <w:tc>
          <w:tcPr>
            <w:tcW w:type="dxa" w:w="2480"/>
          </w:tcPr>
          <w:p>
            <w:r>
              <w:rPr>
                <w:rFonts w:ascii="GHEA Grapalat" w:hAnsi="GHEA Grapalat"/>
                <w:b/>
                <w:sz w:val="24"/>
              </w:rPr>
              <w:t>Աղբյուր</w:t>
            </w:r>
          </w:p>
        </w:tc>
      </w:tr>
      <w:tr>
        <w:tc>
          <w:tcPr>
            <w:tcW w:type="dxa" w:w="2480"/>
          </w:tcPr>
          <w:p>
            <w:r>
              <w:rPr>
                <w:rFonts w:ascii="GHEA Grapalat" w:hAnsi="GHEA Grapalat"/>
                <w:sz w:val="24"/>
              </w:rPr>
              <w:t>Ուղղակի ֆինանսավորում</w:t>
            </w:r>
          </w:p>
        </w:tc>
        <w:tc>
          <w:tcPr>
            <w:tcW w:type="dxa" w:w="2480"/>
          </w:tcPr>
          <w:p>
            <w:r>
              <w:rPr>
                <w:rFonts w:ascii="GHEA Grapalat" w:hAnsi="GHEA Grapalat"/>
                <w:sz w:val="24"/>
              </w:rPr>
              <w:t>Գերմանիա (KfW)</w:t>
            </w:r>
          </w:p>
        </w:tc>
        <w:tc>
          <w:tcPr>
            <w:tcW w:type="dxa" w:w="2480"/>
          </w:tcPr>
          <w:p>
            <w:r>
              <w:rPr>
                <w:rFonts w:ascii="GHEA Grapalat" w:hAnsi="GHEA Grapalat"/>
                <w:sz w:val="24"/>
              </w:rPr>
              <w:t>Ճգնաժամային իրավիճակներում հատուկ ծրագրերի գործարկում, համաֆինանսավորում։</w:t>
            </w:r>
          </w:p>
        </w:tc>
        <w:tc>
          <w:tcPr>
            <w:tcW w:type="dxa" w:w="2480"/>
          </w:tcPr>
          <w:p>
            <w:r>
              <w:rPr>
                <w:rFonts w:ascii="GHEA Grapalat" w:hAnsi="GHEA Grapalat"/>
                <w:sz w:val="24"/>
              </w:rPr>
              <w:t>[27]</w:t>
            </w:r>
          </w:p>
        </w:tc>
      </w:tr>
      <w:tr>
        <w:tc>
          <w:tcPr>
            <w:tcW w:type="dxa" w:w="2480"/>
          </w:tcPr>
          <w:p>
            <w:r>
              <w:rPr>
                <w:rFonts w:ascii="GHEA Grapalat" w:hAnsi="GHEA Grapalat"/>
                <w:sz w:val="24"/>
              </w:rPr>
            </w:r>
          </w:p>
        </w:tc>
        <w:tc>
          <w:tcPr>
            <w:tcW w:type="dxa" w:w="2480"/>
          </w:tcPr>
          <w:p>
            <w:r>
              <w:rPr>
                <w:rFonts w:ascii="GHEA Grapalat" w:hAnsi="GHEA Grapalat"/>
                <w:sz w:val="24"/>
              </w:rPr>
              <w:t>Ֆրանսիա (Bpifrance)</w:t>
            </w:r>
          </w:p>
        </w:tc>
        <w:tc>
          <w:tcPr>
            <w:tcW w:type="dxa" w:w="2480"/>
          </w:tcPr>
          <w:p>
            <w:r>
              <w:rPr>
                <w:rFonts w:ascii="GHEA Grapalat" w:hAnsi="GHEA Grapalat"/>
                <w:sz w:val="24"/>
              </w:rPr>
              <w:t>Համալրում է բանկային վարկերը՝ ֆինանսավորելով նյութական և ոչ նյութական ակտիվներ։</w:t>
            </w:r>
          </w:p>
        </w:tc>
        <w:tc>
          <w:tcPr>
            <w:tcW w:type="dxa" w:w="2480"/>
          </w:tcPr>
          <w:p>
            <w:r>
              <w:rPr>
                <w:rFonts w:ascii="GHEA Grapalat" w:hAnsi="GHEA Grapalat"/>
                <w:sz w:val="24"/>
              </w:rPr>
              <w:t>[27]</w:t>
            </w:r>
          </w:p>
        </w:tc>
      </w:tr>
      <w:tr>
        <w:tc>
          <w:tcPr>
            <w:tcW w:type="dxa" w:w="2480"/>
          </w:tcPr>
          <w:p>
            <w:r>
              <w:rPr>
                <w:rFonts w:ascii="GHEA Grapalat" w:hAnsi="GHEA Grapalat"/>
                <w:sz w:val="24"/>
              </w:rPr>
            </w:r>
          </w:p>
        </w:tc>
        <w:tc>
          <w:tcPr>
            <w:tcW w:type="dxa" w:w="2480"/>
          </w:tcPr>
          <w:p>
            <w:r>
              <w:rPr>
                <w:rFonts w:ascii="GHEA Grapalat" w:hAnsi="GHEA Grapalat"/>
                <w:sz w:val="24"/>
              </w:rPr>
              <w:t>Ռուսաստան (ՓՄՁ աջակցության բանկ)</w:t>
            </w:r>
          </w:p>
        </w:tc>
        <w:tc>
          <w:tcPr>
            <w:tcW w:type="dxa" w:w="2480"/>
          </w:tcPr>
          <w:p>
            <w:r>
              <w:rPr>
                <w:rFonts w:ascii="GHEA Grapalat" w:hAnsi="GHEA Grapalat"/>
                <w:sz w:val="24"/>
              </w:rPr>
              <w:t>Համալիր աջակցություն՝ ներառյալ լիզինգ, ֆակտորինգ, տեխնոպարկեր։</w:t>
            </w:r>
          </w:p>
        </w:tc>
        <w:tc>
          <w:tcPr>
            <w:tcW w:type="dxa" w:w="2480"/>
          </w:tcPr>
          <w:p>
            <w:r>
              <w:rPr>
                <w:rFonts w:ascii="GHEA Grapalat" w:hAnsi="GHEA Grapalat"/>
                <w:sz w:val="24"/>
              </w:rPr>
              <w:t>[27]</w:t>
            </w:r>
          </w:p>
        </w:tc>
      </w:tr>
      <w:tr>
        <w:tc>
          <w:tcPr>
            <w:tcW w:type="dxa" w:w="2480"/>
          </w:tcPr>
          <w:p>
            <w:r>
              <w:rPr>
                <w:rFonts w:ascii="GHEA Grapalat" w:hAnsi="GHEA Grapalat"/>
                <w:sz w:val="24"/>
              </w:rPr>
              <w:t>Վարկային երաշխիքներ</w:t>
            </w:r>
          </w:p>
        </w:tc>
        <w:tc>
          <w:tcPr>
            <w:tcW w:type="dxa" w:w="2480"/>
          </w:tcPr>
          <w:p>
            <w:r>
              <w:rPr>
                <w:rFonts w:ascii="GHEA Grapalat" w:hAnsi="GHEA Grapalat"/>
                <w:sz w:val="24"/>
              </w:rPr>
              <w:t>Մեծ Բրիտանիա (BBB)</w:t>
            </w:r>
          </w:p>
        </w:tc>
        <w:tc>
          <w:tcPr>
            <w:tcW w:type="dxa" w:w="2480"/>
          </w:tcPr>
          <w:p>
            <w:r>
              <w:rPr>
                <w:rFonts w:ascii="GHEA Grapalat" w:hAnsi="GHEA Grapalat"/>
                <w:sz w:val="24"/>
              </w:rPr>
              <w:t>Պորտֆելային երաշխիքներ բանկերին՝ ռիսկերը կիսելու համար։</w:t>
            </w:r>
          </w:p>
        </w:tc>
        <w:tc>
          <w:tcPr>
            <w:tcW w:type="dxa" w:w="2480"/>
          </w:tcPr>
          <w:p>
            <w:r>
              <w:rPr>
                <w:rFonts w:ascii="GHEA Grapalat" w:hAnsi="GHEA Grapalat"/>
                <w:sz w:val="24"/>
              </w:rPr>
              <w:t>[27]</w:t>
            </w:r>
          </w:p>
        </w:tc>
      </w:tr>
      <w:tr>
        <w:tc>
          <w:tcPr>
            <w:tcW w:type="dxa" w:w="2480"/>
          </w:tcPr>
          <w:p>
            <w:r>
              <w:rPr>
                <w:rFonts w:ascii="GHEA Grapalat" w:hAnsi="GHEA Grapalat"/>
                <w:sz w:val="24"/>
              </w:rPr>
            </w:r>
          </w:p>
        </w:tc>
        <w:tc>
          <w:tcPr>
            <w:tcW w:type="dxa" w:w="2480"/>
          </w:tcPr>
          <w:p>
            <w:r>
              <w:rPr>
                <w:rFonts w:ascii="GHEA Grapalat" w:hAnsi="GHEA Grapalat"/>
                <w:sz w:val="24"/>
              </w:rPr>
              <w:t>Հարավային Կորեա (KODIT)</w:t>
            </w:r>
          </w:p>
        </w:tc>
        <w:tc>
          <w:tcPr>
            <w:tcW w:type="dxa" w:w="2480"/>
          </w:tcPr>
          <w:p>
            <w:r>
              <w:rPr>
                <w:rFonts w:ascii="GHEA Grapalat" w:hAnsi="GHEA Grapalat"/>
                <w:sz w:val="24"/>
              </w:rPr>
              <w:t>Խոշորածավալ երաշխավորման ծրագրեր, պարտատոմսերի թողարկման աջակցություն։</w:t>
            </w:r>
          </w:p>
        </w:tc>
        <w:tc>
          <w:tcPr>
            <w:tcW w:type="dxa" w:w="2480"/>
          </w:tcPr>
          <w:p>
            <w:r>
              <w:rPr>
                <w:rFonts w:ascii="GHEA Grapalat" w:hAnsi="GHEA Grapalat"/>
                <w:sz w:val="24"/>
              </w:rPr>
              <w:t>[27]</w:t>
            </w:r>
          </w:p>
        </w:tc>
      </w:tr>
      <w:tr>
        <w:tc>
          <w:tcPr>
            <w:tcW w:type="dxa" w:w="2480"/>
          </w:tcPr>
          <w:p>
            <w:r>
              <w:rPr>
                <w:rFonts w:ascii="GHEA Grapalat" w:hAnsi="GHEA Grapalat"/>
                <w:sz w:val="24"/>
              </w:rPr>
            </w:r>
          </w:p>
        </w:tc>
        <w:tc>
          <w:tcPr>
            <w:tcW w:type="dxa" w:w="2480"/>
          </w:tcPr>
          <w:p>
            <w:r>
              <w:rPr>
                <w:rFonts w:ascii="GHEA Grapalat" w:hAnsi="GHEA Grapalat"/>
                <w:sz w:val="24"/>
              </w:rPr>
              <w:t>Թուրքիա (Վարկային երաշխավորման հիմնադրամ)</w:t>
            </w:r>
          </w:p>
        </w:tc>
        <w:tc>
          <w:tcPr>
            <w:tcW w:type="dxa" w:w="2480"/>
          </w:tcPr>
          <w:p>
            <w:r>
              <w:rPr>
                <w:rFonts w:ascii="GHEA Grapalat" w:hAnsi="GHEA Grapalat"/>
                <w:sz w:val="24"/>
              </w:rPr>
              <w:t>2017թ.-ից գործող ազգային վարկային երաշխավորման հիմնադրամ։</w:t>
            </w:r>
          </w:p>
        </w:tc>
        <w:tc>
          <w:tcPr>
            <w:tcW w:type="dxa" w:w="2480"/>
          </w:tcPr>
          <w:p>
            <w:r>
              <w:rPr>
                <w:rFonts w:ascii="GHEA Grapalat" w:hAnsi="GHEA Grapalat"/>
                <w:sz w:val="24"/>
              </w:rPr>
              <w:t>[27]</w:t>
            </w:r>
          </w:p>
        </w:tc>
      </w:tr>
      <w:tr>
        <w:tc>
          <w:tcPr>
            <w:tcW w:type="dxa" w:w="2480"/>
          </w:tcPr>
          <w:p>
            <w:r>
              <w:rPr>
                <w:rFonts w:ascii="GHEA Grapalat" w:hAnsi="GHEA Grapalat"/>
                <w:sz w:val="24"/>
              </w:rPr>
              <w:t>Այլընտրանքային ֆինանսավորում</w:t>
            </w:r>
          </w:p>
        </w:tc>
        <w:tc>
          <w:tcPr>
            <w:tcW w:type="dxa" w:w="2480"/>
          </w:tcPr>
          <w:p>
            <w:r>
              <w:rPr>
                <w:rFonts w:ascii="GHEA Grapalat" w:hAnsi="GHEA Grapalat"/>
                <w:sz w:val="24"/>
              </w:rPr>
              <w:t>Իսպանիա (FTYMPE)</w:t>
            </w:r>
          </w:p>
        </w:tc>
        <w:tc>
          <w:tcPr>
            <w:tcW w:type="dxa" w:w="2480"/>
          </w:tcPr>
          <w:p>
            <w:r>
              <w:rPr>
                <w:rFonts w:ascii="GHEA Grapalat" w:hAnsi="GHEA Grapalat"/>
                <w:sz w:val="24"/>
              </w:rPr>
              <w:t>ՓՄՁ վարկերի արժեթղթավորման խթանում՝ պետական երաշխիքների միջոցով։</w:t>
            </w:r>
          </w:p>
        </w:tc>
        <w:tc>
          <w:tcPr>
            <w:tcW w:type="dxa" w:w="2480"/>
          </w:tcPr>
          <w:p>
            <w:r>
              <w:rPr>
                <w:rFonts w:ascii="GHEA Grapalat" w:hAnsi="GHEA Grapalat"/>
                <w:sz w:val="24"/>
              </w:rPr>
              <w:t>[39]</w:t>
            </w:r>
          </w:p>
        </w:tc>
      </w:tr>
      <w:tr>
        <w:tc>
          <w:tcPr>
            <w:tcW w:type="dxa" w:w="2480"/>
          </w:tcPr>
          <w:p>
            <w:r>
              <w:rPr>
                <w:rFonts w:ascii="GHEA Grapalat" w:hAnsi="GHEA Grapalat"/>
                <w:sz w:val="24"/>
              </w:rPr>
            </w:r>
          </w:p>
        </w:tc>
        <w:tc>
          <w:tcPr>
            <w:tcW w:type="dxa" w:w="2480"/>
          </w:tcPr>
          <w:p>
            <w:r>
              <w:rPr>
                <w:rFonts w:ascii="GHEA Grapalat" w:hAnsi="GHEA Grapalat"/>
                <w:sz w:val="24"/>
              </w:rPr>
              <w:t>Իտալիա</w:t>
            </w:r>
          </w:p>
        </w:tc>
        <w:tc>
          <w:tcPr>
            <w:tcW w:type="dxa" w:w="2480"/>
          </w:tcPr>
          <w:p>
            <w:r>
              <w:rPr>
                <w:rFonts w:ascii="GHEA Grapalat" w:hAnsi="GHEA Grapalat"/>
                <w:sz w:val="24"/>
              </w:rPr>
              <w:t>«Մինի-պարտատոմսերի» շուկայի ստեղծում՝ հարկային արտոնություններով և երաշխիքներով։</w:t>
            </w:r>
          </w:p>
        </w:tc>
        <w:tc>
          <w:tcPr>
            <w:tcW w:type="dxa" w:w="2480"/>
          </w:tcPr>
          <w:p>
            <w:r>
              <w:rPr>
                <w:rFonts w:ascii="GHEA Grapalat" w:hAnsi="GHEA Grapalat"/>
                <w:sz w:val="24"/>
              </w:rPr>
              <w:t>[25]</w:t>
            </w:r>
          </w:p>
        </w:tc>
      </w:tr>
      <w:tr>
        <w:tc>
          <w:tcPr>
            <w:tcW w:type="dxa" w:w="2480"/>
          </w:tcPr>
          <w:p>
            <w:r>
              <w:rPr>
                <w:rFonts w:ascii="GHEA Grapalat" w:hAnsi="GHEA Grapalat"/>
                <w:sz w:val="24"/>
              </w:rPr>
            </w:r>
          </w:p>
        </w:tc>
        <w:tc>
          <w:tcPr>
            <w:tcW w:type="dxa" w:w="2480"/>
          </w:tcPr>
          <w:p>
            <w:r>
              <w:rPr>
                <w:rFonts w:ascii="GHEA Grapalat" w:hAnsi="GHEA Grapalat"/>
                <w:sz w:val="24"/>
              </w:rPr>
              <w:t>Կոլումբիա (A2censo)</w:t>
            </w:r>
          </w:p>
        </w:tc>
        <w:tc>
          <w:tcPr>
            <w:tcW w:type="dxa" w:w="2480"/>
          </w:tcPr>
          <w:p>
            <w:r>
              <w:rPr>
                <w:rFonts w:ascii="GHEA Grapalat" w:hAnsi="GHEA Grapalat"/>
                <w:sz w:val="24"/>
              </w:rPr>
              <w:t>Պարտքային քրաուդֆանդինգի աջակցություն՝ պետական համաներդրմամբ և կորուստների ծածկույթով։</w:t>
            </w:r>
          </w:p>
        </w:tc>
        <w:tc>
          <w:tcPr>
            <w:tcW w:type="dxa" w:w="2480"/>
          </w:tcPr>
          <w:p>
            <w:r>
              <w:rPr>
                <w:rFonts w:ascii="GHEA Grapalat" w:hAnsi="GHEA Grapalat"/>
                <w:sz w:val="24"/>
              </w:rPr>
              <w:t>[25]</w:t>
            </w:r>
          </w:p>
        </w:tc>
      </w:tr>
      <w:tr>
        <w:tc>
          <w:tcPr>
            <w:tcW w:type="dxa" w:w="2480"/>
          </w:tcPr>
          <w:p>
            <w:r>
              <w:rPr>
                <w:rFonts w:ascii="GHEA Grapalat" w:hAnsi="GHEA Grapalat"/>
                <w:sz w:val="24"/>
              </w:rPr>
              <w:t>Վենչուրային կապիտալի խթանում</w:t>
            </w:r>
          </w:p>
        </w:tc>
        <w:tc>
          <w:tcPr>
            <w:tcW w:type="dxa" w:w="2480"/>
          </w:tcPr>
          <w:p>
            <w:r>
              <w:rPr>
                <w:rFonts w:ascii="GHEA Grapalat" w:hAnsi="GHEA Grapalat"/>
                <w:sz w:val="24"/>
              </w:rPr>
              <w:t>Իսրայել / Էստոնիա</w:t>
            </w:r>
          </w:p>
        </w:tc>
        <w:tc>
          <w:tcPr>
            <w:tcW w:type="dxa" w:w="2480"/>
          </w:tcPr>
          <w:p>
            <w:r>
              <w:rPr>
                <w:rFonts w:ascii="GHEA Grapalat" w:hAnsi="GHEA Grapalat"/>
                <w:sz w:val="24"/>
              </w:rPr>
              <w:t>Նորարարական ընկերությունների ֆինանսավորում բարձր ռիսկային կապիտալով՝ պետական աջակցության (ԳՓԿԱ ֆինանսավորում, համաներդրում) պայմաններում։</w:t>
            </w:r>
          </w:p>
        </w:tc>
        <w:tc>
          <w:tcPr>
            <w:tcW w:type="dxa" w:w="2480"/>
          </w:tcPr>
          <w:p>
            <w:r>
              <w:rPr>
                <w:rFonts w:ascii="GHEA Grapalat" w:hAnsi="GHEA Grapalat"/>
                <w:sz w:val="24"/>
              </w:rPr>
              <w:t>[16]</w:t>
            </w:r>
          </w:p>
        </w:tc>
      </w:tr>
    </w:tbl>
    <w:p/>
    <w:p>
      <w:r>
        <w:t>Աղբյուրը՝ կազմված է հեղինակի կողմից՝ հիմք ընդունելով նշված աղբյուրները։</w:t>
      </w:r>
    </w:p>
    <w:p>
      <w:r>
        <w:t>Փորձի կիրառելիությունը Հայաստանում. հնարավորություններ և ռիսկեր</w:t>
      </w:r>
    </w:p>
    <w:p>
      <w:r>
        <w:t>Միջազգային փորձի վերլուծությունը ցույց է տալիս, որ մեկ «կախարդական փայտիկ» գոյություն չունի։ Յուրաքանչյուր երկիր ընտրում է գործիքների այն համադրությունը, որը լավագույնս համապատասխանում է իր տնտեսության կառուցվածքին, ֆինանսական շուկայի զարգացվածության մակարդակին և հարկաբյուջետային հնարավորություններին։ Այս համատեքստում Հայաստանի համար կարելի է առանձնացնել մի քանի հեռանկարային ուղղություն, ինչպես նաև գնահատել դրանց հետ կապված ռիսկերը։</w:t>
      </w:r>
    </w:p>
    <w:p>
      <w:r>
        <w:t>Հնարավորություններ</w:t>
      </w:r>
    </w:p>
    <w:p>
      <w:r>
        <w:t>1.  Վարկային երաշխավորման մեխանիզմների ընդլայնում։ Հայաստանում արդեն գործում է ՓՄՁ զարգացման ազգային կենտրոնը (ՓՄՁ ԶԱԿ), որի գործառույթներից է վարկային երաշխավորությունների տրամադրումը [14, էջ 6]։ Այնուամենայնիվ, դրա ծավալները համեստ են։ Կանադական, կորեական, բրիտանական և նույնիսկ տարածաշրջանային (օրինակ՝ թուրքական) փորձը ցույց է տալիս, որ այս գործիքը կարող է շատ ավելի մեծ մասշտաբների հասնել։ Երաշխավորությունների ծավալների մեծացումը և պայմանների պարզեցումը կարող են ուղղակիորեն լուծել գրավի անբավարարության խնդիրը, որը հայաստանյան ՓՄՁ-ների համար ամենացավոտ հարցերից է [1, էջ 4]։ Այս մոդելը նաև հարկաբյուջետային տեսանկյունից ավելի արդյունավետ է, քան ուղղակի վարկավորումը, քանի որ պետական միջոցները ծախսվում են միայն վարկի չվերադարձման դեպքում։</w:t>
      </w:r>
    </w:p>
    <w:p>
      <w:r>
        <w:t>2.  Կապիտալի շուկայի վրա հիմնված գործիքների նպատակային խթանում։ Հայաստանի կապիտալի շուկան թերզարգացած է, սակայն սա չի նշանակում, որ պետք է հրաժարվել այն զարգացնելու փորձերից։ Այս համատեքստում հատուկ ուշադրության է արժանի նաև վենչուրային ֆինանսավորման էկոհամակարգի զարգացումը, որն առանցքային է հատկապես տեխնոլոգիական և նորարար ՓՄՁ-ների համար։ Իտալիայի «մինի-պարտատոմսերի» և Կոլումբիայի քրաուդֆանդինգի մոդելները, ինչպես նաև Էստոնիայի փորձը վենչուրային ներդրումների խթանման ոլորտում, գրավիչ են նրանով, որ դրանք պահանջում են ոչ թե ուղղակի խոշոր բյուջետային ներարկումներ, այլ խթանող միջավայրի ստեղծում՝ օրենսդրական բարեփոխումների, հարկային արտոնությունների և սահմանափակ ռիսկով պետական մասնակցության միջոցով։ ՎԶԵԲ-ի ռազմավարությունը ևս ընդգծում է Հայաստանում տեղական արժույթով կապիտալի շուկաների զարգացման կարևորությունը, հատկապես կենսաթոշակային ֆոնդերի ներուժը հաշվի առնելով [17, էջ 5]։ USAID-ի աջակցությամբ իրականացված արժեթղթավորման փորձնական ծրագիրը, որին մասնակցել են նաև կենսաթոշակային ֆոնդերը, ցույց է տալիս, որ այս ուղղությամբ պահանջարկ և ներուժ կա [39, էջ 37]։</w:t>
      </w:r>
    </w:p>
    <w:p>
      <w:r>
        <w:t>3.  Ոչ ֆինանսական աջակցության համալիր մոտեցում։ Բրիտանական բիզնես բանկի փորձը ցույց է տալիս, որ պետական աջակցությունը չպետք է սահմանափակվի միայն ֆինանսներով։ Բանկի նպատակներից են նաև ֆինանսավորման աղբյուրների բազմազանության մեծացումը և ՓՄՁ-ներին օգնելը՝ գտնելու իրենց համար ամենահարմար ֆինանսական գործիքը [25, էջ 73]։ Սա ենթադրում է տեղեկատվական և խորհրդատվական լայնածավալ աշխատանք, որը Հայաստանում ՓՄՁ ԶԱԿ-ն իրականացնում է, սակայն կարիք ունի ընդլայնման և թիրախավորման [1, էջ 6]։</w:t>
      </w:r>
    </w:p>
    <w:p>
      <w:r>
        <w:t>Ռիսկեր և մարտահրավերներ</w:t>
      </w:r>
    </w:p>
    <w:p>
      <w:r>
        <w:t>1.  Շուկայի խեղաթյուրման ռիսկ (Crowding-out effect)։ Պետական միջամտության, հատկապես ուղղակի վարկավորման և տոկոսադրույքների սուբսիդավորման ամենամեծ վտանգն այն է, որ այն կարող է դուրս մղել մասնավոր ֆինանսական միջնորդներին։ Եթե պետությունը չափազանց էժան վարկեր առաջարկի, առևտրային բանկերը պարզապես չեն կարողանա մրցակցել [25, էջ 43]։ Սա կարող է հանգեցնել ոչ թե շուկայի զարգացմանը, այլ պետությունից կախվածության մեծացմանը։ Հետևաբար, ցանկացած արտոնյալ ֆինանսավորում պետք է լինի խիստ նպատակային և կիրառվի զգուշորեն՝ միայն այն դեպքերում, երբ առկա են հստակ շուկայական ձախողումներ։</w:t>
      </w:r>
    </w:p>
    <w:p>
      <w:r>
        <w:t>2.  Սահմանափակ հարկաբյուջետային ռեսուրսներ։ Գերմանիայի KfW-ի նման խոշոր զարգացման բանկ ստեղծելը կամ ուղղակի վարկավորման լայնածավալ ծրագրեր իրականացնելը պահանջում է հսկայական ֆինանսական ռեսուրսներ, որոնք Հայաստանի պետական բյուջեի համար կարող են անկրելի լինել։ ՓՄՁ աջակցության ծրագրերի համար պետբյուջեից հատկացվող գումարների գրեթե անփոփոխ մակարդակը վերջին տասնամյակում վկայում է այս սահմանափակման մասին [14, էջ 8]։ Այս պայմաններում Հայաստանի համար առավել իրատեսական են այն մոդելները, որոնք ուղղված են մասնավոր կապիտալի մոբիլիզացմանը (օրինակ՝ երաշխիքները, համաֆինանսավորումը), քան դրա փոխարինմանը։</w:t>
      </w:r>
    </w:p>
    <w:p>
      <w:r>
        <w:t>3.  Տվյալների բացակայություն և թույլ ինստիտուցիոնալ կարողություններ։ Արդյունավետ քաղաքականություն մշակելու համար անհրաժեշտ են ընկերությունների մակարդակով մանրամասն և հավաստի տվյալներ [25, էջ 42]։ Հայաստանում ՓՄՁ ֆինանսավորման վերաբերյալ համապարփակ վիճակագրության բացակայությունը դժվարացնում է խնդիրների ճշգրիտ ախտորոշումը և միջամտությունների թիրախավորումը [14, էջ 8-9]։ Բացի այդ, միջազգային բարդ ֆինանսական գործիքների (օրինակ՝ արժեթղթավորում, վենչուրային կապիտալ) ներդրումը պահանջում է բարձր ինստիտուցիոնալ կարողություններ ինչպես պետական կարգավորիչներից, այնպես էլ շուկայի մասնակիցներից։</w:t>
      </w:r>
    </w:p>
    <w:p>
      <w:r>
        <w:t>Այսպիսով, միջազգային փորձի ուսումնասիրությունը թույլ է տալիս եզրակացնել, որ ՀՀ ՓՄՁ ֆինանսավորման համակարգի բարելավման համար ամենահեռանկարային ուղին ոչ թե որևէ մեկ մոդելի ամբողջական պատճենումն է, այլ հիբրիդային մոտեցման կիրառումը։ Այն պետք է ներառի առկա վարկային երաշխավորությունների մեխանիզմի էական ընդլայնում, կապիտալի շուկայի վրա հիմնված նպատակային և սահմանափակ ռիսկով գործիքների փորձարկում՝ հատուկ ուշադրություն դարձնելով ինստիտուցիոնալ ներդրողների (կենսաթոշակային ֆոնդեր) և վենչուրային կապիտալի ներգրավմանը, և այս ամենի զուգակցումը ոչ ֆինանսական (խորհրդատվական, տեղեկատվական) աջակցության հետ։ Ընդ որում, բոլոր միջոցառումները պետք է մշակվեն՝ հաշվի առնելով շուկան չխեղաթյուրելու և պետական սուղ միջոցները հնարավորինս արդյունավետ օգտագործելու սկզբունքները։</w:t>
      </w:r>
    </w:p>
    <w:p>
      <w:r>
        <w:br w:type="page"/>
      </w:r>
    </w:p>
    <w:p>
      <w:pPr>
        <w:pStyle w:val="Heading1"/>
      </w:pPr>
      <w:bookmarkStart w:id="114" w:name="_Toc_heading_14"/>
      <w:r>
        <w:t>Եզրակացություններ և առաջարկություններ</w:t>
      </w:r>
      <w:bookmarkEnd w:id="114"/>
    </w:p>
    <w:p>
      <w:r>
        <w:t>Մագիստրոսական թեզի նպատակն էր համակողմանիորեն ուսումնասիրել Հայաստանի Հանրապետությունում փոքր և միջին ձեռնարկատիրության (ՓՄՁ) ֆինանսավորման համակարգը, բացահայտել ոլորտի զարգացմանը խոչընդոտող հիմնախնդիրները և դրանց վերլուծության հիման վրա մշակել համակարգը բարելավելու գործնական առաջարկություններ։ Կատարված հետազոտությունը հաստատում է աշխատանքի հիմնադրույթն այն մասին, որ ֆինանսական ռեսուրսների հասանելիությունը շարունակում է մնալ ՀՀ ՓՄՁ-ների զարգացման գլխավոր խոչընդոտը։</w:t>
      </w:r>
    </w:p>
    <w:p>
      <w:r>
        <w:t>1. Տեսական հիմքերի և ՓՄՁ-ների դերի վերլուծության արդյունքում պարզվել է, որ թեև «փոքր և միջին ձեռնարկատիրություն» հասկացությունը չունի համընդհանուր սահմանում, դրա դասակարգման հիմքում գերակշռում են քանակական չափանիշները (աշխատակիցների թիվ, շրջանառություն, ակտիվների արժեք), որոնցով էլ առաջնորդվում է Հայաստանը՝ որդեգրելով ԵՄ մոդելը։ ՓՄՁ-ները կազմում են ՀՀ տնտեսության ողնաշարը՝ ցուցաբերելով կայուն աճ ինչպես քանակական, այնպես էլ ՀՆԱ-ում իրենց մասնաբաժնի առումով, սակայն դեռևս զիջում են եվրոպական երկրների միջին ցուցանիշներին, ինչը վկայում է զարգացման չիրացված մեծ ներուժի մասին։ Ֆինանսավորման տեսական մոդելների ուսումնասիրությունը ցույց է տվել, որ ՓՄՁ-ների համար առավել բնորոշ է «հերթականության տեսությունը», որի համաձայն՝ ընկերությունները նախապատվությունը տալիս են ներքին ֆինանսավորմանը, ապա՝ պարտքին, և միայն որպես վերջին միջոց դիմում են սեփական կապիտալի ներգրավմանը։ Այս մոտեցումը պայմանավորված է տեղեկատվական անհամաչափության բարձր մակարդակով, որը բնորոշ է նաև Հայաստանի ՓՄՁ ոլորտին։</w:t>
      </w:r>
    </w:p>
    <w:p>
      <w:r>
        <w:t>2. ՀՀ ֆինանսավորման գործնական համակարգի վերլուծությունը բացահայտել է, որ այն խիստ բանկակենտրոն է. առևտրային բանկերը ՓՄՁ-ների արտաքին ֆինանսավորման գրեթե մենաշնորհային աղբյուրն են։ Պետական աջակցության ենթակառուցվածքը, որը ներառում է ինստիտուտներ («Ձեռնարկություն Հայաստան», «Հայաստանի զարգացման և ներդրումների կորպորացիա») և ծրագրեր (վարկային երաշխավորություններ, սուբսիդավորում), հատվածային է և բնութագրվում է ֆինանսավորման անբավարարությամբ ու անկայունությամբ։ Ֆինանսավորման այլընտրանքային գործիքները զարգացման տարբեր փուլերում են. եթե լիզինգը վերջին տարիներին պետական սուբսիդավորման ծրագրերի շնորհիվ զգալի աշխուժացում է ապրել, ապա վենչուրային կապիտալի շուկան դեռևս սաղմնային վիճակում է՝ խոչընդոտվելով գիտության և բիզնեսի միջև թույլ կապի, ինչպես նաև կապիտալի շուկաների թերզարգացվածության պատճառով։ Քրաուդֆանդինգը, թեև նոր է, սակայն արդեն ունի իրավական հիմք և առաջին գործող հարթակները։</w:t>
      </w:r>
    </w:p>
    <w:p>
      <w:r>
        <w:t>3. Ֆինանսավորման հասանելիության հիմնախնդիրների և միջազգային փորձի ուսումնասիրությունը ցույց է տվել, որ հիմնական խոչընդոտները բազմաշերտ են։ Դրանք են՝ վարկային ռեսուրսների բարձր գինը, մարման կարճ ժամկետները և, ամենակարևորը, գրավի խիստ պահանջները, որոնք անհաղթահարելի են դառնում շատ ՓՄՁ-ների համար։ Այս խնդիրների հիմքում ընկած են ավելի խորքային պատճառներ՝ ՓՄՁ-ների ֆինանսական ցածր թափանցիկությունը, հաշվետվողականության թույլ մշակույթը և ձեռնարկատերերի ֆինանսական ոչ բավարար գրագիտությունը։ Միջազգային փորձի վերլուծությունը բացահայտել է պետական աջակցության մի շարք արդյունավետ մոդելներ, որոնք Հայաստանի համար կարող են կիրառելի լինել. դրանք են վարկային երաշխավորությունների լայնածավալ սխեմաները, այլընտրանքային ֆինանսավորման (արժեթղթավորում, «մինի-պարտատոմսեր») խթանումը և վենչուրային կապիտալի էկոհամակարգերի նպատակային զարգացումը։</w:t>
      </w:r>
    </w:p>
    <w:p>
      <w:r>
        <w:t>Հետազոտության արդյունքների, բացահայտված հիմնախնդիրների և միջազգային փորձի հիման վրա մշակվել են հետևյալ գործնական առաջարկությունները։</w:t>
      </w:r>
    </w:p>
    <w:p>
      <w:r>
        <w:t>1. Վարկային երաշխավորությունների համակարգի ընդլայնում և կայունացում։ Գրավի անբավարարության խնդիրը ՓՄՁ-ների համար ամենահրատապն է։ Դրա լուծման համար առաջարկվում է՝</w:t>
      </w:r>
    </w:p>
    <w:p>
      <w:r>
        <w:t>- զգալիորեն ավելացնել վարկային երաշխավորությունների տրամադրման համար նախատեսված պետական ֆոնդերի ծավալը՝ ապահովելով դրա կայունությունն ու կանխատեսելիությունը (անկայուն ֆինանսավորումը խաթարում է գործիքի նկատմամբ վստահությունը),</w:t>
      </w:r>
    </w:p>
    <w:p>
      <w:r>
        <w:t>- ներդնել երաշխավորության տարբերակված պայմաններ՝ կախված ձեռնարկության գործունեության ոլորտից և գտնվելու վայրից։ Առավել արտոնյալ պայմաններ (երաշխավորության ավելի բարձր սահմանաչափ, ցածր սպասարկման վճար) կարելի է սահմանել արտահանման ներուժ ունեցող, նորարարական և սահմանամերձ համայնքներում գործող ՓՄՁ-ների համար։</w:t>
      </w:r>
    </w:p>
    <w:p>
      <w:r>
        <w:t>2. Այլընտրանքային ֆինանսական գործիքների խթանում։ Բանկային համակարգից կախվածությունը նվազեցնելու և ֆինանսավորման աղբյուրները դիվերսիֆիկացնելու համար անհրաժեշտ են հետևյալ քայլերը՝</w:t>
      </w:r>
    </w:p>
    <w:p>
      <w:r>
        <w:t>- մշակել և ընդունել «Ֆակտորինգի մասին» առանձին օրենք՝ գործիքի կիրառման համար հստակ և կանխատեսելի միջավայր ստեղծելու նպատակով։ Միաժամանակ պետք է վերացնել լիզինգի նկատմամբ առկա հարկային խտրականությունը՝ ԱԱՀ-ի հետաձգման արտոնությունը տարածելով նաև լիզինգային գործարքների վրա,</w:t>
      </w:r>
    </w:p>
    <w:p>
      <w:r>
        <w:t>- Իտալիայի «մինի-պարտատոմսերի» փորձի հիման վրա՝ մշակել ՓՄՁ-ների կողմից պարտատոմսերի թողարկման պարզեցված կարգ։ Պետությունը կարող է խթանել այս գործընթացը՝ մասնակիորեն սուբսիդավորելով առաջին թողարկման հետ կապված ծախսերը։</w:t>
      </w:r>
    </w:p>
    <w:p>
      <w:r>
        <w:t>3. Տեղեկատվական անհամաչափության մեղմում և ՓՄՁ-ների կարողությունների զարգացում։</w:t>
      </w:r>
    </w:p>
    <w:p>
      <w:r>
        <w:t>- Պետությունը կարող է ներդնել խթաններ (օրինակ՝ հարկային արտոնություններ կամ պետական աջակցության ծրագրերում առավելություն) այն ՓՄՁ-ների համար, որոնք ներդնում են հաշվապահական հաշվառման ժամանակակից համակարգեր, անցնում են կամավոր աուդիտ կամ հրապարակում են իրենց ֆինանսական հաշվետվությունները։</w:t>
      </w:r>
    </w:p>
    <w:p>
      <w:r>
        <w:t>- Խորացնել պետական աջակցության ուսուցողական և խորհրդատվական ծրագրերը՝ հատուկ շեշտ դնելով ֆինանսական կառավարման, իրատեսական բիզնես ծրագրերի կազմման և ֆինանսավորման այլընտրանքային աղբյուրների վերաբերյալ գիտելիքների տրամադրման վրա։</w:t>
      </w:r>
    </w:p>
    <w:p>
      <w:r>
        <w:t>4. Վենչուրային ֆինանսավորման էկոհամակարգի զարգացում։</w:t>
      </w:r>
    </w:p>
    <w:p>
      <w:r>
        <w:t>- Իսրայելի և Էստոնիայի փորձի հիման վրա՝ պետությունը կարող է ստեղծել համաներդրումային ֆոնդեր, որոնք մասնավոր վենչուրային ներդրողների հետ համատեղ կֆինանսավորեն հայկական տեխնոլոգիական ստարտափները՝ այդպիսով կիսելով ռիսկերը և գրավիչ դարձնելով շուկան։</w:t>
      </w:r>
    </w:p>
    <w:p>
      <w:r>
        <w:t>- Ուսումնասիրել կենսաթոշակային ֆոնդերի միջոցները վենչուրային ֆոնդերում ներդնելու օրենսդրական հնարավորությունները՝ ռիսկերի կառավարման խիստ մեխանիզմների սահմանմամբ։</w:t>
      </w:r>
    </w:p>
    <w:p>
      <w:r>
        <w:t>Հետևաբար, ՀՀ-ում ՓՄՁ ֆինանսավորման համակարգը բարելավման և դիվերսիֆիկացման լուրջ կարիք ունի։ Առաջարկվող քայլերի համալիր իրականացումը հնարավորություն կտա մեղմել ոլորտի առջև ծառացած հիմնական խոչընդոտները՝ անցում կատարելով գերազանցապես բանկային վարկավորման վրա հիմնված մոդելից դեպի ֆինանսական գործիքների ավելի բազմազան ու ճկուն համակարգ, որը կնպաստի ՓՄՁ ոլորտի կայուն զարգացմանն ու Հայաստանի տնտեսության մրցունակության բարձրացմանը։</w:t>
      </w:r>
    </w:p>
    <w:p>
      <w:r>
        <w:t>Սույն հետազոտությունը կարող է նաև հիմք ծառայել հետագա ուսումնասիրությունների համար։ Մասնավորապես, հեռանկարային են հետևյալ ուղղությունները.</w:t>
      </w:r>
    </w:p>
    <w:p>
      <w:r>
        <w:t>- քանակապես գնահատել ՀՀ-ում պետական աջակցության կոնկրետ ծրագրերի (օրինակ՝ լիզինգի տոկոսադրույքների սուբսիդավորման) ազդեցությունը ՓՄՁ-ների արտադրողականության և զբաղվածության վրա,</w:t>
      </w:r>
    </w:p>
    <w:p>
      <w:r>
        <w:t>- ուսումնասիրել մշակութային գործոնների, օրինակ՝ սեփականության նկատմամբ վերահսկողությունը կորցնելու մտավախության, դերը բաժնային ֆինանսավորման (վենչուրային կապիտալ, քրաուդֆանդինգ) դանդաղ զարգացման գործում,</w:t>
      </w:r>
    </w:p>
    <w:p>
      <w:r>
        <w:t>- վերլուծել Հայաստանի ՓՄՁ-ների համար «կանաչ» ֆինանսավորման գործիքներ մշակելու և ներդնելու հնարավորությունները։</w:t>
      </w:r>
    </w:p>
    <w:p>
      <w:r>
        <w:br w:type="page"/>
      </w:r>
    </w:p>
    <w:p>
      <w:pPr>
        <w:pStyle w:val="Heading1"/>
      </w:pPr>
      <w:r>
        <w:t>ՕԳՏԱԳՈՐԾՎԱԾ ԳՐԱԿԱՆՈՒԹՅԱՆ ՑԱՆԿ</w:t>
      </w:r>
    </w:p>
    <w:p>
      <w:pPr>
        <w:ind w:left="709" w:hanging="709"/>
      </w:pPr>
      <w:r>
        <w:t xml:space="preserve">Բաղդասարյան, Լ. Լ., ՓՄՁ զարգացման հիմնախնդիրները և աջակցության մեխանիզմները ՀՀ-ում // Регион и мир, 2020, No. 4, էջ 120–123 // URL: </w:t>
      </w:r>
      <w:hyperlink r:id="rId14">
        <w:r>
          <w:rPr>
            <w:color w:val="0563C1"/>
            <w:u w:val="single"/>
          </w:rPr>
          <w:t xml:space="preserve">https://artsakhlib.am/wp-content/uploads/2020/09/%D4%B3%D5%AB%D5%AC%D5%AB%D5%A9-%D4%B2%D5%A1%D5%B2%D5%B2%D5%A4%D5%A1%D5%BD%D5%A1%D6%80%D5%B5%D5%A1%D5%B6-%D5%93%D5%84%D4%B1-%D5%A6%D5%A1%D6%80%D5%A3%D5%A1%D6%81%D5%B4%D5%A1%D5%B6-%D5%B0%D5%AB%D5%B4%D5%B6%D5%A1%D5%AD%D5%B6%D5%A4%D6%80%D5%B8%D6%82%D5%B6%D5%B6%D5%A5%D6%80%D5%A8-%D6%87-%D5%A1%D5%BB%D5%A1%D5%AF%D6%81%D5%B8%D6%82%D5%A9%D5%B5%D5%A1%D5%B6-%D5%B4%D5%A5%D5%AD%D5%A1%D5%B6%D5%AB%D5%A6%D5%B4%D5%B6%D5%A5%D6%80%D5%A8-%D5%80%D5%80-%D5%B8%D6%82%D5%B4.pdf</w:t>
        </w:r>
      </w:hyperlink>
      <w:r>
        <w:t>,</w:t>
      </w:r>
      <w:r>
        <w:t xml:space="preserve"> 18.09.2026</w:t>
      </w:r>
    </w:p>
    <w:p>
      <w:pPr>
        <w:ind w:left="709" w:hanging="709"/>
      </w:pPr>
      <w:r>
        <w:t xml:space="preserve">ԳԵՎՈՐԳՅԱՆ, ԱՐԱՄ ԱՇՈՏԻ, ՓՈՔՐ ԵՎ ՄԻՋԻՆ ՁԵՌՆԱՐԿԱՏԻՐՈՒԹՅԱՆ ԽԹԱՆՄԱՆ ՔԱՂԱՔԱԿԱՆՈՒԹՅԱՆ ԿԱՏԱՐԵԼԱԳՈՐԾՈՒՄԸ ՀԱՅԱՍՏԱՆԻ ՀԱՆՐԱՊԵՏՈՒԹՅՈՒՆՈՒՄ, n.d., էջ 40–43 // URL: </w:t>
      </w:r>
      <w:hyperlink r:id="rId15">
        <w:r>
          <w:rPr>
            <w:color w:val="0563C1"/>
            <w:u w:val="single"/>
          </w:rPr>
          <w:t xml:space="preserve">https://arar.sci.am/Content/257970/file_0.pdf</w:t>
        </w:r>
      </w:hyperlink>
      <w:r>
        <w:t>,</w:t>
      </w:r>
      <w:r>
        <w:t xml:space="preserve"> 18.09.2026</w:t>
      </w:r>
    </w:p>
    <w:p>
      <w:pPr>
        <w:ind w:left="709" w:hanging="709"/>
      </w:pPr>
      <w:r>
        <w:t xml:space="preserve">Զախարյան, Արմինե Գրիգորի, ՓՈՔՐ ԵՎ ՄԻՋԻՆ ՁԵՌՆԱՐԿՈՒԹՅՈՒՆՆԵՐԻ ԴԵՐԸ ՀՀ ՏՆՏԵՍՈՒԹՅԱՆ ԶԱՐԳԱՑՄԱՆ ԳՈՐԾԸՆԹԱՑՈՒՄ. ՀՀ ԳԱԱ Մ.Քոթանյանի անվան տնտեսագիտության ինստիտուտ, 2018, էջ 99–102 // URL: </w:t>
      </w:r>
      <w:hyperlink r:id="rId16">
        <w:r>
          <w:rPr>
            <w:color w:val="0563C1"/>
            <w:u w:val="single"/>
          </w:rPr>
          <w:t xml:space="preserve">https://artsakhlib.am/wp-content/uploads/2020/04/%D4%B1%D6%80%D5%B4%D5%AB%D5%B6%D5%A5-%D4%B6%D5%A1%D5%AD%D5%A1%D6%80%D5%B5%D5%A1%D5%B6-%D5%93%D5%B8%D6%84%D6%80-%D6%87-%D5%B4%D5%AB%D5%BB%D5%AB%D5%B6-%D5%B1%D5%A5%D5%BC%D5%B6%D5%A1%D6%80%D5%AF%D5%B8%D6%82%D5%A9%D5%B5%D5%B8%D6%82%D5%B6%D5%B6%D5%A5%D6%80%D5%AB-%D5%A4%D5%A5%D6%80%D5%A8-%D5%80%D5%80-%D5%BF%D5%B6%D5%BF%D5%A5%D5%BD%D5%B8%D6%82%D5%A9%D5%B5%D5%A1%D5%B6-%D5%A6%D5%A1%D6%80%D5%A3%D5%A1%D6%81%D5%B4%D5%A1%D5%B6-%D5%A3%D5%B8%D6%80%D5%AE%D5%A8%D5%B6%D5%A9%D5%A1%D6%81%D5%B8%D6%82%D5%B4.pdf</w:t>
        </w:r>
      </w:hyperlink>
      <w:r>
        <w:t>,</w:t>
      </w:r>
      <w:r>
        <w:t xml:space="preserve"> 18.09.2026</w:t>
      </w:r>
    </w:p>
    <w:p>
      <w:pPr>
        <w:ind w:left="709" w:hanging="709"/>
      </w:pPr>
      <w:r>
        <w:t xml:space="preserve">ԶԱԽԱՐՅԱՆ, ԱՐՄԻՆԵ ԳՐԻԳՈՐԻ, ՓՈՔՐ ԵՎ ՄԻՋԻՆ ՁԵՌՆԱՐԿՈՒԹՅՈՒՆՆԵՐԻ ԳՈՐԾՈՒՆԵՈՒԹՅԱՆ ԽԹԱՆՄԱՆ ՀԻՄՆԱԽՆԴԻՐՆԵՐԸ ՀԱՅԱՍՏԱՆԻ ՀԱՆՐԱՊԵՏՈՒԹՅՈՒՆՈՒՄ. ՀՀ ԳԱԱ Մ. Քոթանյանի անվան տնտեսագիտության ինստիտուտի, n.d., էջ 51–54 // URL: </w:t>
      </w:r>
      <w:hyperlink r:id="rId17">
        <w:r>
          <w:rPr>
            <w:color w:val="0563C1"/>
            <w:u w:val="single"/>
          </w:rPr>
          <w:t xml:space="preserve">https://arar.sci.am/Content/257971/file_0.pdf</w:t>
        </w:r>
      </w:hyperlink>
      <w:r>
        <w:t>,</w:t>
      </w:r>
      <w:r>
        <w:t xml:space="preserve"> 18.09.2026</w:t>
      </w:r>
    </w:p>
    <w:p>
      <w:pPr>
        <w:ind w:left="709" w:hanging="709"/>
      </w:pPr>
      <w:r>
        <w:t xml:space="preserve">Էկոնոմիկայի նախարարություն, ՀԱՇՎԵՏՎՈՒԹՅՈՒՆ 2020–2024թթ․ ՓՈՔՐ ԵՎ ՄԻՋԻՆ ՁԵՌՆԱՐԿԱՏԻՐՈՒԹՅԱՆ ԶԱՐԳԱՑՄԱՆ ՌԱԶՄԱՎԱՐՈՒԹՅԱՆ. Էկոնոմիկայի նախարարություն, 2024 // URL: </w:t>
      </w:r>
      <w:hyperlink r:id="rId18">
        <w:r>
          <w:rPr>
            <w:color w:val="0563C1"/>
            <w:u w:val="single"/>
          </w:rPr>
          <w:t xml:space="preserve">https://www.mineconomy.am/media/39730/SME</w:t>
        </w:r>
      </w:hyperlink>
      <w:r>
        <w:t xml:space="preserve"> Report.pdf, 18.09.2026</w:t>
      </w:r>
    </w:p>
    <w:p>
      <w:pPr>
        <w:ind w:left="709" w:hanging="709"/>
      </w:pPr>
      <w:r>
        <w:t xml:space="preserve">ԽԱՉԱՏՐՅԱՆ, ՄԵՐԻ ԱՆԴՐԱՆԻԿԻ, Ազգային ինովացիոն համակարգերի ձևավորման և զարգացման միջազգային փորձը. ԵՎՐՈՊԱԿԱՆ ՀԱՄԱԼՍԱՐԱՆ, n.d. // URL: </w:t>
      </w:r>
      <w:hyperlink r:id="rId19">
        <w:r>
          <w:rPr>
            <w:color w:val="0563C1"/>
            <w:u w:val="single"/>
          </w:rPr>
          <w:t xml:space="preserve">https://www.iatp.am/news/avtoreferats/m.khachatryan.pdf</w:t>
        </w:r>
      </w:hyperlink>
      <w:r>
        <w:t>,</w:t>
      </w:r>
      <w:r>
        <w:t xml:space="preserve"> 18.09.2026</w:t>
      </w:r>
    </w:p>
    <w:p>
      <w:pPr>
        <w:ind w:left="709" w:hanging="709"/>
      </w:pPr>
      <w:r>
        <w:t xml:space="preserve">Հայաստանի Հանրապետության կառավարություն, ՓՈՔՐ ԵՎ ՄԻՋԻՆ ՁԵՌՆԱՐԿԱՏԻՐՈՒԹՅԱՆ ՍՈՒԲՅԵԿՏՆԵՐԻՆ ԱՋԱԿՑՈՒԹՅԱՆ 2012 ԹՎԱԿԱՆԻ ԾՐԱԳԻՐ. Հայաստանի Հանրապետության կառավարություն, 2011 // URL: </w:t>
      </w:r>
      <w:hyperlink r:id="rId20">
        <w:r>
          <w:rPr>
            <w:color w:val="0563C1"/>
            <w:u w:val="single"/>
          </w:rPr>
          <w:t xml:space="preserve">https://www.mineconomy.am/media/1979/1304.pdf</w:t>
        </w:r>
      </w:hyperlink>
      <w:r>
        <w:t>,</w:t>
      </w:r>
      <w:r>
        <w:t xml:space="preserve"> 18.09.2026</w:t>
      </w:r>
    </w:p>
    <w:p>
      <w:pPr>
        <w:ind w:left="709" w:hanging="709"/>
      </w:pPr>
      <w:r>
        <w:t xml:space="preserve">Հայաստանի Հանրապետության Կառավարություն, ՀԱՇՎԵՏՎՈՒԹՅՈՒՆ ՀԱՅԱՍՏԱՆԻ ՀԱՆՐԱՊԵՏՈՒԹՅԱՆ 2015 ԹՎԱԿԱՆԻ ՊԵՏԱԿԱՆ ԲՅՈՒՋԵԻ ԿԱՏԱՐՄԱՆ ՎԵՐԱԲԵՐՅԱԼ. Հայաստանի Հանրապետության Կառավարություն, 2015 // URL: </w:t>
      </w:r>
      <w:hyperlink r:id="rId21">
        <w:r>
          <w:rPr>
            <w:color w:val="0563C1"/>
            <w:u w:val="single"/>
          </w:rPr>
          <w:t xml:space="preserve">https://edrc.am/old/images/State_Budget_Execution/2015_analysis.pdf</w:t>
        </w:r>
      </w:hyperlink>
      <w:r>
        <w:t>,</w:t>
      </w:r>
      <w:r>
        <w:t xml:space="preserve"> 18.09.2026</w:t>
      </w:r>
    </w:p>
    <w:p>
      <w:pPr>
        <w:ind w:left="709" w:hanging="709"/>
      </w:pPr>
      <w:r>
        <w:t xml:space="preserve">Հայաստանի Հանրապետության Կառավարություն, «ՓՄՁ-Ի ՍՈՒԲՅԵԿՏՆԵՐԻՆ ԱՋԱԿՑՈՒԹՅԱՆ ԾՐԱԳՐԵՐԻ ՀԱՄԱԿԱՐԳՈՒՄ ԵՎ ԿԱՌԱՎԱՐՈՒՄ» ՄԻՋՈՑԱՌՄԱՆ 2026 ԹՎԱԿԱՆԻ ԾՐԱԳԻՐԸ, ԴՐԱ ԻՐԱԿԱՆԱՑՄԱՆ ՄԻՋՈՑԱՌՈՒՄՆԵՐԻ ՑԱՆԿԸ ԵՎ ԺԱՄԱՆԱԿԱՑՈՒՅՑԸ ՀԱՍՏԱՏԵԼՈՒ ՄԱՍԻՆ. Հայաստանի Հանրապետության Կառավարություն, 2026 // URL: </w:t>
      </w:r>
      <w:hyperlink r:id="rId22">
        <w:r>
          <w:rPr>
            <w:color w:val="0563C1"/>
            <w:u w:val="single"/>
          </w:rPr>
          <w:t xml:space="preserve">https://e-draft.am/index.php/project/download/pdf?id=10158</w:t>
        </w:r>
      </w:hyperlink>
      <w:r>
        <w:t>,</w:t>
      </w:r>
      <w:r>
        <w:t xml:space="preserve"> 18.09.2026</w:t>
      </w:r>
    </w:p>
    <w:p>
      <w:pPr>
        <w:ind w:left="709" w:hanging="709"/>
      </w:pPr>
      <w:r>
        <w:t xml:space="preserve">Հայաստանի Փոքր և միջին ձեռնարկատիրության զարգացման ազգային կենտրոն հիմնադրամ, Հայաստանի Փոքր և միջին ձեռնարկատիրության զարգացման ազգային կենտրոն հիմնադրամի (www.smednc.am) կողմից իրականացվող ֆինանսական աջակցության ծրագրեր. Հայաստանի Փոքր և միջին ձեռնարկատիրության զարգացման ազգային կենտրոն հիմնադրամ, 2003 // URL: </w:t>
      </w:r>
      <w:hyperlink r:id="rId23">
        <w:r>
          <w:rPr>
            <w:color w:val="0563C1"/>
            <w:u w:val="single"/>
          </w:rPr>
          <w:t xml:space="preserve">http://old.minagro.am/public/uploads/2017/04/PMDZ-ZAK.pdf</w:t>
        </w:r>
      </w:hyperlink>
      <w:r>
        <w:t>,</w:t>
      </w:r>
      <w:r>
        <w:t xml:space="preserve"> 18.09.2026</w:t>
      </w:r>
    </w:p>
    <w:p>
      <w:pPr>
        <w:ind w:left="709" w:hanging="709"/>
      </w:pPr>
      <w:r>
        <w:t xml:space="preserve">ՀՀ կառավարություն, ՓՈՔՐ ԵՎ ՄԻՋԻՆ ՁԵՌՆԱՐԿԱՏԻՐՈՒԹՅԱՆ ԶԱՐԳԱՑՄԱՆ 2016–2018 ԹՎԱԿԱՆՆԵՐԻ ՌԱԶՄԱՎԱՐՈՒԹՅԱՆԸ ՀԱՎԱՆՈՒԹՅՈՒՆ ՏԱԼՈՒ ՄԱՍԻՆ. ՀՀ կառավարություն, 2015, No. 44 // URL: </w:t>
      </w:r>
      <w:hyperlink r:id="rId24">
        <w:r>
          <w:rPr>
            <w:color w:val="0563C1"/>
            <w:u w:val="single"/>
          </w:rPr>
          <w:t xml:space="preserve">https://arlis.am/hy/acts/101700/download/act_changes</w:t>
        </w:r>
      </w:hyperlink>
      <w:r>
        <w:t>,</w:t>
      </w:r>
      <w:r>
        <w:t xml:space="preserve"> 18.09.2026</w:t>
      </w:r>
    </w:p>
    <w:p>
      <w:pPr>
        <w:ind w:left="709" w:hanging="709"/>
      </w:pPr>
      <w:r>
        <w:t xml:space="preserve">ՀՀ տնտեսական զարգացման և ներդրումների նախարարություն, 2017 ԹՎԱԿԱՆԻ ԾՐԱԳԻՐ «ՊԵՏԱԿԱՆ ԱՋԱԿՑՈԻԹՅՈԻՆ ՀԱՅԱՍՏԱՆԻ ՓՄՁ ԶԱԿ ՀԻՄՆԱԴՐԱՄԻ ԿԱՆՈՆԱԴՐԱԿԱՆ ՀԻՄՆԱԽՆԴԻՐՆԵՐԻ ԻՐԱԿԱՆԱՑՄԱՆԸ». ՀՀ տնտեսական զարգացման և ներդրումների նախարարություն, 2017 // URL: </w:t>
      </w:r>
      <w:hyperlink r:id="rId25">
        <w:r>
          <w:rPr>
            <w:color w:val="0563C1"/>
            <w:u w:val="single"/>
          </w:rPr>
          <w:t xml:space="preserve">https://www.mineconomy.am/media/6269/s.pdf</w:t>
        </w:r>
      </w:hyperlink>
      <w:r>
        <w:t>,</w:t>
      </w:r>
      <w:r>
        <w:t xml:space="preserve"> 18.09.2026</w:t>
      </w:r>
    </w:p>
    <w:p>
      <w:pPr>
        <w:ind w:left="709" w:hanging="709"/>
      </w:pPr>
      <w:r>
        <w:t xml:space="preserve">ՄԱԿԱՐՅԱՆ, ԳԱԳԻԿ, ԿԱՅՈՒՆ ՁԵՌՆԱՐԿԱՏԻՐՈՒԹՅՈՒՆԸ ԵՎ ԿԱՅՈՒՆ ԶԲԱՂՎԱԾՈՒԹՅՈՒՆԸ ՀՀ-ՈՒՄ. ՀՀ ԿԱՌՎԱՐՈՒԹՅՈՒՆ, 2023 // URL: </w:t>
      </w:r>
      <w:hyperlink r:id="rId26">
        <w:r>
          <w:rPr>
            <w:color w:val="0563C1"/>
            <w:u w:val="single"/>
          </w:rPr>
          <w:t xml:space="preserve">https://arhmiutyun.org/wp-content/uploads/2023/07/Խորհրդատվական-կարծիք-3-Gagik-Makaryan.pdf</w:t>
        </w:r>
      </w:hyperlink>
      <w:r>
        <w:t>,</w:t>
      </w:r>
      <w:r>
        <w:t xml:space="preserve"> 18.09.2026</w:t>
      </w:r>
    </w:p>
    <w:p>
      <w:pPr>
        <w:ind w:left="709" w:hanging="709"/>
      </w:pPr>
      <w:r>
        <w:t xml:space="preserve">ՄԱՐԳԱՐՅԱՆ, ԿԱՐԼԵՆ, ՖԻՆԱՆՍԱԿԱՆ ՌԵՍՈՒՐՍՆԵՐԻ ՀԱՍԱՆԵԼԻՈՒԹՅԱՆ ԲԱՐԵԼԱՎՈՒՄԸ՝ ՈՐՊԵՍ ՀՀ-ՈՒՄ ՓՈՔՐ ԵՎ ՄԻՋԻՆ ՁԵՌՆԱՐԿԱՏԻՐՈՒԹՅԱՆ ԶԱՐԳԱՑՄԱՆ ԷԱԿԱՆ ԳՈՐԾՈՆ // ԳԻՏԱԿԱՆ ԱՐՑԱԽ SCIENTIFIC ARTSAKH НАУЧНЫЙ ԱՐՑԱԽ, 2019, Vol. 2, No. 3, էջ 250–253 // URL: </w:t>
      </w:r>
      <w:hyperlink r:id="rId27">
        <w:r>
          <w:rPr>
            <w:color w:val="0563C1"/>
            <w:u w:val="single"/>
          </w:rPr>
          <w:t xml:space="preserve">https://arar.sci.am/Content/267788</w:t>
        </w:r>
      </w:hyperlink>
      <w:r>
        <w:t>,</w:t>
      </w:r>
      <w:r>
        <w:t xml:space="preserve"> 18.09.2026</w:t>
      </w:r>
    </w:p>
    <w:p>
      <w:pPr>
        <w:ind w:left="709" w:hanging="709"/>
      </w:pPr>
      <w:r>
        <w:t xml:space="preserve">Պողոսյան, Շողեր Պյոտրի, ԼԻԶԻՆԳԻ ՆԵՐԴՐՄԱՆ ԱՆՀՐԱԺԵՇՏՈՒԹՅՈՒՆԸ ԵՎ ԽՈՉԸՆԴՈՏՆԵՐԸ ՀՀ ՓՄՁ ՈԼՈՐՏՈՒՄ, n.d., էջ 135–138 // URL: </w:t>
      </w:r>
      <w:hyperlink r:id="rId28">
        <w:r>
          <w:rPr>
            <w:color w:val="0563C1"/>
            <w:u w:val="single"/>
          </w:rPr>
          <w:t xml:space="preserve">https://arar.sci.am/Content/257979/file_0.pdf</w:t>
        </w:r>
      </w:hyperlink>
      <w:r>
        <w:t>,</w:t>
      </w:r>
      <w:r>
        <w:t xml:space="preserve"> 18.09.2026</w:t>
      </w:r>
    </w:p>
    <w:p>
      <w:pPr>
        <w:ind w:left="709" w:hanging="709"/>
      </w:pPr>
      <w:r>
        <w:t xml:space="preserve">ՍՈՂՈՅԱՆ, ՖԼՈՐԱ, ԻՆՈՎԱՑԻՈՆ ԳՈՐԾՈՒՆԵՈՒԹՅԱՆ ՖԻՆԱՆՍԱՎՈՐՄԱՆ ՀԻՄՆԱԽՆԴԻՐՆԵՐԸ ՀՀ-ՈՒՄ, 2020, էջ 47–50 // URL: </w:t>
      </w:r>
      <w:hyperlink r:id="rId29">
        <w:r>
          <w:rPr>
            <w:color w:val="0563C1"/>
            <w:u w:val="single"/>
          </w:rPr>
          <w:t xml:space="preserve">https://journals.ysu.am/bulletin-ysu-economics/article/download/Vol.11_No.2_2020_pp.047-056/Vol.11_No.2_2020_pp.047-056.pdf/9393</w:t>
        </w:r>
      </w:hyperlink>
      <w:r>
        <w:t>,</w:t>
      </w:r>
      <w:r>
        <w:t xml:space="preserve"> 18.09.2026</w:t>
      </w:r>
    </w:p>
    <w:p>
      <w:pPr>
        <w:ind w:left="709" w:hanging="709"/>
      </w:pPr>
      <w:r>
        <w:t xml:space="preserve">ՎԵՐԱԿԱՌՈՒՑՄԱՆ ԵՎ ԶԱՐԳԱՑՄԱՆ ԵՎՐՈՊԱԿԱՆ ԲԱՆԿ, ՀԱՅԱՍՏԱՆԻ ԳԾՈՎ ՌԱԶՄԱՎԱՐՈՒԹՅՈՒՆ. ՎԵՐԱԿԱՌՈՒՑՄԱՆ ԵՎ ԶԱՐԳԱՑՄԱՆ ԵՎՐՈՊԱԿԱՆ ԲԱՆԿ, 2015 // URL: </w:t>
      </w:r>
      <w:hyperlink r:id="rId30">
        <w:r>
          <w:rPr>
            <w:color w:val="0563C1"/>
            <w:u w:val="single"/>
          </w:rPr>
          <w:t xml:space="preserve">https://edrc.am/old/images/Partnership_Strategies/EBRD/armenia_strategy_paper_2015_arm.pdf</w:t>
        </w:r>
      </w:hyperlink>
      <w:r>
        <w:t>,</w:t>
      </w:r>
      <w:r>
        <w:t xml:space="preserve"> 18.09.2026</w:t>
      </w:r>
    </w:p>
    <w:p>
      <w:pPr>
        <w:ind w:left="709" w:hanging="709"/>
      </w:pPr>
      <w:r>
        <w:t xml:space="preserve">Ahma, Milot, Skoryk, Liubov, FROM REFORM TO IMPACT: THE PAST, PRESENT AND FUTURE OF LEGAL AND REGULATORY REFORMS AIMED AT IMPROVING ACCESS TO FINANCE FOR SMEs AND STARTUPS // LAW IN TRANSITION, 2025, p. 63-65 // URL: </w:t>
      </w:r>
      <w:hyperlink r:id="rId31">
        <w:r>
          <w:rPr>
            <w:color w:val="0563C1"/>
            <w:u w:val="single"/>
          </w:rPr>
          <w:t xml:space="preserve">https://www.ebrd.com/content/dam/ebrd_dxp/assets/pdfs/legal-transition/Law</w:t>
        </w:r>
      </w:hyperlink>
      <w:r>
        <w:t xml:space="preserve"> in Transition journal/LiTJ 2025/ebrd-lit25-from-reform-to-impact.pdf, 18.09.2026</w:t>
      </w:r>
    </w:p>
    <w:p>
      <w:pPr>
        <w:ind w:left="709" w:hanging="709"/>
      </w:pPr>
      <w:r>
        <w:t xml:space="preserve">ARMENIA’S MICROFINANCE SECTOR AT A GLANCE, 2023 // URL: </w:t>
      </w:r>
      <w:hyperlink r:id="rId32">
        <w:r>
          <w:rPr>
            <w:color w:val="0563C1"/>
            <w:u w:val="single"/>
          </w:rPr>
          <w:t xml:space="preserve">https://www.adb.org/sites/default/files/publication/939571/armenia-microfinance-sector-glance.pdf</w:t>
        </w:r>
      </w:hyperlink>
      <w:r>
        <w:t>,</w:t>
      </w:r>
      <w:r>
        <w:t xml:space="preserve"> 18.09.2026</w:t>
      </w:r>
    </w:p>
    <w:p>
      <w:pPr>
        <w:ind w:left="709" w:hanging="709"/>
      </w:pPr>
      <w:r>
        <w:t xml:space="preserve">Asian Development Bank, Small and Medium-Sized Enterprise Finance Program (Armenia). Asian Development Bank, 2015 // URL: </w:t>
      </w:r>
      <w:hyperlink r:id="rId33">
        <w:r>
          <w:rPr>
            <w:color w:val="0563C1"/>
            <w:u w:val="single"/>
          </w:rPr>
          <w:t xml:space="preserve">https://www.adb.org/sites/default/files/project-documents//45903-024-xarr.pdf</w:t>
        </w:r>
      </w:hyperlink>
      <w:r>
        <w:t>,</w:t>
      </w:r>
      <w:r>
        <w:t xml:space="preserve"> 18.09.2026</w:t>
      </w:r>
    </w:p>
    <w:p>
      <w:pPr>
        <w:ind w:left="709" w:hanging="709"/>
      </w:pPr>
      <w:r>
        <w:t xml:space="preserve">Atamanchuk, M., Tokuoka, K., Supporting Sustainable Financing and Access to Finance in Armenia. International Monetary Fund, 2023, WP/23/4 // URL: </w:t>
      </w:r>
      <w:hyperlink r:id="rId34">
        <w:r>
          <w:rPr>
            <w:color w:val="0563C1"/>
            <w:u w:val="single"/>
          </w:rPr>
          <w:t xml:space="preserve">https://www.imf.org/-/media/files/publications/wp/2023/english/wpiea2023004-print-pdf.pdf</w:t>
        </w:r>
      </w:hyperlink>
      <w:r>
        <w:t>,</w:t>
      </w:r>
      <w:r>
        <w:t xml:space="preserve"> 18.09.2026</w:t>
      </w:r>
    </w:p>
    <w:p>
      <w:pPr>
        <w:ind w:left="709" w:hanging="709"/>
      </w:pPr>
      <w:r>
        <w:t xml:space="preserve">Beck, T., Financing Constraints of SMEs in Developing Countries: Evidence, Determinants and Solutions. World Bank, 2007 // URL: </w:t>
      </w:r>
      <w:hyperlink r:id="rId35">
        <w:r>
          <w:rPr>
            <w:color w:val="0563C1"/>
            <w:u w:val="single"/>
          </w:rPr>
          <w:t xml:space="preserve">https://research.tilburguniversity.edu/files/1107677/Financing_Constraints_of_SMEs.pdf</w:t>
        </w:r>
      </w:hyperlink>
      <w:r>
        <w:t>,</w:t>
      </w:r>
      <w:r>
        <w:t xml:space="preserve"> 18.09.2026</w:t>
      </w:r>
    </w:p>
    <w:p>
      <w:pPr>
        <w:ind w:left="709" w:hanging="709"/>
      </w:pPr>
      <w:r>
        <w:t xml:space="preserve">Berisha, G., Pula, J. S., Defining Small and Medium Enterprises: a critical review // Academic Journal of Business, Administration, Law and Social Sciences, 2015, Vol. 1, No. 1, p. 17-20. ISSN 2410-3918 // URL: </w:t>
      </w:r>
      <w:hyperlink r:id="rId36">
        <w:r>
          <w:rPr>
            <w:color w:val="0563C1"/>
            <w:u w:val="single"/>
          </w:rPr>
          <w:t xml:space="preserve">https://iipccl.org/wp-content/uploads/2015/03/Ajbals-17-28.pdf</w:t>
        </w:r>
      </w:hyperlink>
      <w:r>
        <w:t>,</w:t>
      </w:r>
      <w:r>
        <w:t xml:space="preserve"> 18.09.2026</w:t>
      </w:r>
    </w:p>
    <w:p>
      <w:pPr>
        <w:ind w:left="709" w:hanging="709"/>
      </w:pPr>
      <w:r>
        <w:t xml:space="preserve">BFC, Armenia Private Sector Financing And The Role Of Risk-bearing Instruments. BFC, 2013 // URL: </w:t>
      </w:r>
      <w:hyperlink r:id="rId37">
        <w:r>
          <w:rPr>
            <w:color w:val="0563C1"/>
            <w:u w:val="single"/>
          </w:rPr>
          <w:t xml:space="preserve">https://www.eib.org/files/efs/econ_report_psf_and_the_role_of_rbi_armenia_en.pdf</w:t>
        </w:r>
      </w:hyperlink>
      <w:r>
        <w:t>,</w:t>
      </w:r>
      <w:r>
        <w:t xml:space="preserve"> 18.09.2026</w:t>
      </w:r>
    </w:p>
    <w:p>
      <w:pPr>
        <w:ind w:left="709" w:hanging="709"/>
      </w:pPr>
      <w:r>
        <w:t xml:space="preserve">Carvajal, A. F., Didier, T., BOOSTING SME FINANCE FOR GROWTH The Case for more Effective Support Policies, n.d. // URL: </w:t>
      </w:r>
      <w:hyperlink r:id="rId38">
        <w:r>
          <w:rPr>
            <w:color w:val="0563C1"/>
            <w:u w:val="single"/>
          </w:rPr>
          <w:t xml:space="preserve">https://documents1.worldbank.org/curated/en/099092724122562655/pdf/P1790051b7ddde0d51b13b12b908018aa52.pdf</w:t>
        </w:r>
      </w:hyperlink>
      <w:r>
        <w:t>,</w:t>
      </w:r>
      <w:r>
        <w:t xml:space="preserve"> 18.09.2026</w:t>
      </w:r>
    </w:p>
    <w:p>
      <w:pPr>
        <w:ind w:left="709" w:hanging="709"/>
      </w:pPr>
      <w:r>
        <w:t xml:space="preserve">European Union, User guide to the SME Definition. Publications Office of the European Union, 2020. ISBN 978-92-79-69902-3. </w:t>
      </w:r>
      <w:hyperlink r:id="rId39">
        <w:r>
          <w:rPr>
            <w:color w:val="0563C1"/>
            <w:u w:val="single"/>
          </w:rPr>
          <w:t xml:space="preserve">https://doi.org/10.2873/255862</w:t>
        </w:r>
      </w:hyperlink>
      <w:r>
        <w:t xml:space="preserve"> // URL: </w:t>
      </w:r>
      <w:hyperlink r:id="rId40">
        <w:r>
          <w:rPr>
            <w:color w:val="0563C1"/>
            <w:u w:val="single"/>
          </w:rPr>
          <w:t xml:space="preserve">https://assets.gov.ie/static/documents/european-commission-user-guide-to-the-sme-definition-90a44960-8413-4b2c-8433-1b795e0e3.pdf</w:t>
        </w:r>
      </w:hyperlink>
      <w:r>
        <w:t>,</w:t>
      </w:r>
      <w:r>
        <w:t xml:space="preserve"> 18.09.2026</w:t>
      </w:r>
    </w:p>
    <w:p>
      <w:pPr>
        <w:ind w:left="709" w:hanging="709"/>
      </w:pPr>
      <w:r>
        <w:t xml:space="preserve">Financial Stability Board, Evaluation of the effects of financial regulatory reforms on small and medium-sized enterprise (SME) financing. Financial Stability Board, 2019 // URL: </w:t>
      </w:r>
      <w:hyperlink r:id="rId41">
        <w:r>
          <w:rPr>
            <w:color w:val="0563C1"/>
            <w:u w:val="single"/>
          </w:rPr>
          <w:t xml:space="preserve">https://www.fsb.org/uploads/P070619-1.pdf</w:t>
        </w:r>
      </w:hyperlink>
      <w:r>
        <w:t>,</w:t>
      </w:r>
      <w:r>
        <w:t xml:space="preserve"> 18.09.2026</w:t>
      </w:r>
    </w:p>
    <w:p>
      <w:pPr>
        <w:ind w:left="709" w:hanging="709"/>
      </w:pPr>
      <w:r>
        <w:t xml:space="preserve">Inah, E. U., Ajor, O. M., Jacob, M. E., Chisobem, U. B., Mbong, I. T., EFFECT OF VENTURE CAPITAL FINANCING ON THE FINANCIAL PERFORMANCE OF SMEs IN CROSS RIVER STATE // WUKARI INTERNATIONAL STUDIES JOURNAL, 2024, Vol. 8, No. 2, p. 136-140 // URL: </w:t>
      </w:r>
      <w:hyperlink r:id="rId42">
        <w:r>
          <w:rPr>
            <w:color w:val="0563C1"/>
            <w:u w:val="single"/>
          </w:rPr>
          <w:t xml:space="preserve">https://wissjournals.com.ng/index.php/wiss/article/download/326/299/328</w:t>
        </w:r>
      </w:hyperlink>
      <w:r>
        <w:t>,</w:t>
      </w:r>
      <w:r>
        <w:t xml:space="preserve"> 18.09.2026</w:t>
      </w:r>
    </w:p>
    <w:p>
      <w:pPr>
        <w:ind w:left="709" w:hanging="709"/>
      </w:pPr>
      <w:r>
        <w:t xml:space="preserve">International Labour Office; Enterprises Department, The enabling environment for sustainable enterprises in Armenia. International Labour Office, 2016. ISBN 978-92-2-131152-2 // URL: </w:t>
      </w:r>
      <w:hyperlink r:id="rId43">
        <w:r>
          <w:rPr>
            <w:color w:val="0563C1"/>
            <w:u w:val="single"/>
          </w:rPr>
          <w:t xml:space="preserve">https://researchrepository.ilo.org/view/pdfCoverPage?instCode=41ILO_INST&amp;filePid=13100862660002676&amp;download=true</w:t>
        </w:r>
      </w:hyperlink>
      <w:r>
        <w:t>,</w:t>
      </w:r>
      <w:r>
        <w:t xml:space="preserve"> 18.09.2026</w:t>
      </w:r>
    </w:p>
    <w:p>
      <w:pPr>
        <w:ind w:left="709" w:hanging="709"/>
      </w:pPr>
      <w:r>
        <w:t xml:space="preserve">Jaworski, J., Czerwonka, L., Which Capital Structure Theory Explains Financial Behaviour of Small and Medium-Sized Enterprises? Evidence from Poland // Gospodarka Narodowa, 2023, Vol. 313, No. 1, p. 82-92. ISSN 2300-5238. </w:t>
      </w:r>
      <w:hyperlink r:id="rId44">
        <w:r>
          <w:rPr>
            <w:color w:val="0563C1"/>
            <w:u w:val="single"/>
          </w:rPr>
          <w:t xml:space="preserve">https://doi.org/10.33119/GN/159035</w:t>
        </w:r>
      </w:hyperlink>
      <w:r>
        <w:t xml:space="preserve"> // URL: </w:t>
      </w:r>
      <w:hyperlink r:id="rId45">
        <w:r>
          <w:rPr>
            <w:color w:val="0563C1"/>
            <w:u w:val="single"/>
          </w:rPr>
          <w:t xml:space="preserve">https://gnpje.sgh.waw.pl/pdf-159035-88816?filename=Which</w:t>
        </w:r>
      </w:hyperlink>
      <w:r>
        <w:t xml:space="preserve"> Capital Structure.pdf, 18.09.2026</w:t>
      </w:r>
    </w:p>
    <w:p>
      <w:pPr>
        <w:ind w:left="709" w:hanging="709"/>
      </w:pPr>
      <w:r>
        <w:t xml:space="preserve">Jiang, N., Koltko, O., Chávez, É., Koch-Saldarriaga, K., Quesada, M., El Fezzazi El Maziani, F., Konidari, M., Kushnir, K., Lopez Rocha, S. C., Vaillon, C., IMPROVING ACCESS TO FINANCE FOR SMES Opportunities through Credit Reporting, Secured Lending and Insolvency Practices. World Bank Group, 2018 // URL: </w:t>
      </w:r>
      <w:hyperlink r:id="rId46">
        <w:r>
          <w:rPr>
            <w:color w:val="0563C1"/>
            <w:u w:val="single"/>
          </w:rPr>
          <w:t xml:space="preserve">https://documents1.worldbank.org/curated/en/316871533711048308/pdf/129283-WP-PUBLIC-improving-access-to-finance-for-SMEs.pdf</w:t>
        </w:r>
      </w:hyperlink>
      <w:r>
        <w:t>,</w:t>
      </w:r>
      <w:r>
        <w:t xml:space="preserve"> 18.09.2026</w:t>
      </w:r>
    </w:p>
    <w:p>
      <w:pPr>
        <w:ind w:left="709" w:hanging="709"/>
      </w:pPr>
      <w:r>
        <w:t xml:space="preserve">Jiang, N., Koltko, O., Chávez, É., Koch-Saldarriaga, K., Quesada, M., IMPROVING ACCESS TO FINANCE FOR SMES: Opportunities through Credit Reporting, Secured Lending and Insolvency Practices. World Bank Group, 2018 // URL: </w:t>
      </w:r>
      <w:hyperlink r:id="rId47">
        <w:r>
          <w:rPr>
            <w:color w:val="0563C1"/>
            <w:u w:val="single"/>
          </w:rPr>
          <w:t xml:space="preserve">https://www.doingbusiness.org/content/dam/doingBusiness/media/Special-Reports/improving-access-to-finance-for-SMEs.pdf</w:t>
        </w:r>
      </w:hyperlink>
      <w:r>
        <w:t>,</w:t>
      </w:r>
      <w:r>
        <w:t xml:space="preserve"> 18.09.2026</w:t>
      </w:r>
    </w:p>
    <w:p>
      <w:pPr>
        <w:ind w:left="709" w:hanging="709"/>
      </w:pPr>
      <w:r>
        <w:t xml:space="preserve">Lerner, J., Leamon, A., Garcia-Robles, S., Best Practices in Creating a Venture Capital Ecosystem. Multilateral Investment Fund, 2012 // URL: </w:t>
      </w:r>
      <w:hyperlink r:id="rId48">
        <w:r>
          <w:rPr>
            <w:color w:val="0563C1"/>
            <w:u w:val="single"/>
          </w:rPr>
          <w:t xml:space="preserve">https://publications.iadb.org/publications/english/document/Best-Practices-in-Creating-a-Venture-Capital-Ecosystem.pdf</w:t>
        </w:r>
      </w:hyperlink>
      <w:r>
        <w:t>,</w:t>
      </w:r>
      <w:r>
        <w:t xml:space="preserve"> 18.09.2026</w:t>
      </w:r>
    </w:p>
    <w:p>
      <w:pPr>
        <w:ind w:left="709" w:hanging="709"/>
      </w:pPr>
      <w:r>
        <w:t xml:space="preserve">Mendes, S. M. D., Machado, P., Reis, C. D., Cunha, V. L. M., Trade Off and Pecking Order Capital Structure Theories in Tourism Sector in the Portuguese Central Region // Athens Journal of Tourism, 2023, Vol. 10, No. 1-21. </w:t>
      </w:r>
      <w:hyperlink r:id="rId49">
        <w:r>
          <w:rPr>
            <w:color w:val="0563C1"/>
            <w:u w:val="single"/>
          </w:rPr>
          <w:t xml:space="preserve">https://doi.org/10.30958/ajt.X-Y-Z</w:t>
        </w:r>
      </w:hyperlink>
      <w:r>
        <w:t xml:space="preserve"> // URL: </w:t>
      </w:r>
      <w:hyperlink r:id="rId50">
        <w:r>
          <w:rPr>
            <w:color w:val="0563C1"/>
            <w:u w:val="single"/>
          </w:rPr>
          <w:t xml:space="preserve">https://www.athensjournals.gr/tourism/2023-5242-AJT-Mendes-05.pdf</w:t>
        </w:r>
      </w:hyperlink>
      <w:r>
        <w:t>,</w:t>
      </w:r>
      <w:r>
        <w:t xml:space="preserve"> 18.09.2026</w:t>
      </w:r>
    </w:p>
    <w:p>
      <w:pPr>
        <w:ind w:left="709" w:hanging="709"/>
      </w:pPr>
      <w:r>
        <w:t xml:space="preserve">Rafyan, A., Shatvoryan, S., GUIDELINES AND BEST PRACTICES FOR MICRO-, SMALL AND MEDIUM ENTERPRISES IN ARMENIA IN DELIVERING ENERGY-EFFICIENT PRODUCTS AND IN PROVIDING RENEWABLE ENERGY EQUIPMENT. UNITED NATIONS ECONOMIC COMMISSION FOR EUROPE, 2022 // URL: </w:t>
      </w:r>
      <w:hyperlink r:id="rId51">
        <w:r>
          <w:rPr>
            <w:color w:val="0563C1"/>
            <w:u w:val="single"/>
          </w:rPr>
          <w:t xml:space="preserve">https://unece.org/sites/default/files/2022-06/UNECE_MSME_REEE_Armenia</w:t>
        </w:r>
      </w:hyperlink>
      <w:r>
        <w:t xml:space="preserve"> report.pdf, 18.09.2026</w:t>
      </w:r>
    </w:p>
    <w:p>
      <w:pPr>
        <w:ind w:left="709" w:hanging="709"/>
      </w:pPr>
      <w:r>
        <w:t xml:space="preserve">Serrasqueiro, Z., Caetano, A., TRADE-OFF THEORY VERSUS PECKING ORDER THEORY: CAPITAL STRUCTURE DECISIONS IN A PERIPHERAL REGION OF PORTUGAL // Journal of Business Economics and Management, 2014, Vol. 16, No. 2, p. 445-466. ISSN 1611-1699. </w:t>
      </w:r>
      <w:hyperlink r:id="rId52">
        <w:r>
          <w:rPr>
            <w:color w:val="0563C1"/>
            <w:u w:val="single"/>
          </w:rPr>
          <w:t xml:space="preserve">https://doi.org/10.3846/16111699.2012.744344</w:t>
        </w:r>
      </w:hyperlink>
      <w:r>
        <w:t xml:space="preserve"> // URL: </w:t>
      </w:r>
      <w:hyperlink r:id="rId53">
        <w:r>
          <w:rPr>
            <w:color w:val="0563C1"/>
            <w:u w:val="single"/>
          </w:rPr>
          <w:t xml:space="preserve">https://journals.vilniustech.lt/index.php/JBEM/article/download/2685/2196</w:t>
        </w:r>
      </w:hyperlink>
      <w:r>
        <w:t>,</w:t>
      </w:r>
      <w:r>
        <w:t xml:space="preserve"> 18.09.2026</w:t>
      </w:r>
    </w:p>
    <w:p>
      <w:pPr>
        <w:ind w:left="709" w:hanging="709"/>
      </w:pPr>
      <w:r>
        <w:t xml:space="preserve">SME COUNTRY FACT SHEET ARMENIA, 2021 // URL: </w:t>
      </w:r>
      <w:hyperlink r:id="rId54">
        <w:r>
          <w:rPr>
            <w:color w:val="0563C1"/>
            <w:u w:val="single"/>
          </w:rPr>
          <w:t xml:space="preserve">https://enlargement.ec.europa.eu/system/files/2021-09/armenia_-_sme_fact_sheet_2021.pdf</w:t>
        </w:r>
      </w:hyperlink>
      <w:r>
        <w:t>,</w:t>
      </w:r>
      <w:r>
        <w:t xml:space="preserve"> 18.09.2026</w:t>
      </w:r>
    </w:p>
    <w:p>
      <w:pPr>
        <w:ind w:left="709" w:hanging="709"/>
      </w:pPr>
      <w:r>
        <w:t xml:space="preserve">Stratta, N., Sirunyan, V., Khachvankyan, E., Harutyunyan, K., Gharayan, L., Ghazaryan, L., Koloyan, T., Development Finance Assessment Armenia. United Nations Development Program (UNDP) in Armenia, 2022 // URL: </w:t>
      </w:r>
      <w:hyperlink r:id="rId55">
        <w:r>
          <w:rPr>
            <w:color w:val="0563C1"/>
            <w:u w:val="single"/>
          </w:rPr>
          <w:t xml:space="preserve">https://www.undp.org/sites/g/files/zskgke326/files/2022-11/DFA</w:t>
        </w:r>
      </w:hyperlink>
      <w:r>
        <w:t xml:space="preserve"> Armenia_final.pdf, 18.09.2026</w:t>
      </w:r>
    </w:p>
    <w:p>
      <w:pPr>
        <w:ind w:left="709" w:hanging="709"/>
      </w:pPr>
      <w:r>
        <w:t xml:space="preserve">The World Bank Group, CAPITAL MARKETS AND SMES IN EMERGING MARKETS AND DEVELOPING ECONOMIES: CAN THEY GO THE DISTANCE?. The World Bank Group, 2020 // URL: </w:t>
      </w:r>
      <w:hyperlink r:id="rId56">
        <w:r>
          <w:rPr>
            <w:color w:val="0563C1"/>
            <w:u w:val="single"/>
          </w:rPr>
          <w:t xml:space="preserve">https://documents1.worldbank.org/curated/en/270221582271669731/pdf/Capital-Markets-and-SMEs-in-Emerging-Markets-and-Developing-Economies-Can-They-Go-the-Distance.pdf</w:t>
        </w:r>
      </w:hyperlink>
      <w:r>
        <w:t>,</w:t>
      </w:r>
      <w:r>
        <w:t xml:space="preserve"> 18.09.2026</w:t>
      </w:r>
    </w:p>
    <w:sectPr w:rsidR="00FC693F" w:rsidRPr="0006063C" w:rsidSect="00034616">
      <w:footerReference w:type="default" r:id="rId57"/>
      <w:pgSz w:w="11906" w:h="16838"/>
      <w:pgMar w:top="1134" w:right="56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GHEA Grapalat" w:hAnsi="GHEA Grapalat" w:eastAsia="GHEA Grapalat" w:cs="GHEA Grapalat"/>
      <w:sz w:val="24"/>
      <w:lang w:val="hy-AM" w:bidi="hy-AM"/>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GHEA Grapalat" w:hAnsi="GHEA Grapalat" w:eastAsia="GHEA Grapalat" w:cs="GHEA Grapalat"/>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GHEA Grapalat" w:hAnsi="GHEA Grapalat" w:eastAsia="GHEA Grapalat" w:cs="GHEA Grapalat"/>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GHEA Grapalat" w:hAnsi="GHEA Grapalat" w:eastAsia="GHEA Grapalat" w:cs="GHEA Grapalat"/>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921" w:val="right" w:leader="dot"/>
      </w:tabs>
      <w:spacing w:after="80" w:before="40"/>
      <w:ind w:left="0" w:firstLine="0"/>
    </w:pPr>
    <w:rPr>
      <w:rFonts w:ascii="GHEA Grapalat" w:hAnsi="GHEA Grapalat"/>
      <w:b w:val="0"/>
      <w:sz w:val="24"/>
    </w:rPr>
  </w:style>
  <w:style w:type="paragraph" w:customStyle="1" w:styleId="TOC2">
    <w:name w:val="TOC 2"/>
    <w:pPr>
      <w:tabs>
        <w:tab w:pos="9354" w:val="right" w:leader="dot"/>
      </w:tabs>
      <w:spacing w:after="80" w:before="0"/>
      <w:ind w:left="567" w:firstLine="0"/>
    </w:pPr>
    <w:rPr>
      <w:rFonts w:ascii="GHEA Grapalat" w:hAnsi="GHEA Grapalat"/>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yperlink" Target="https://artsakhlib.am/wp-content/uploads/2020/09/%D4%B3%D5%AB%D5%AC%D5%AB%D5%A9-%D4%B2%D5%A1%D5%B2%D5%B2%D5%A4%D5%A1%D5%BD%D5%A1%D6%80%D5%B5%D5%A1%D5%B6-%D5%93%D5%84%D4%B1-%D5%A6%D5%A1%D6%80%D5%A3%D5%A1%D6%81%D5%B4%D5%A1%D5%B6-%D5%B0%D5%AB%D5%B4%D5%B6%D5%A1%D5%AD%D5%B6%D5%A4%D6%80%D5%B8%D6%82%D5%B6%D5%B6%D5%A5%D6%80%D5%A8-%D6%87-%D5%A1%D5%BB%D5%A1%D5%AF%D6%81%D5%B8%D6%82%D5%A9%D5%B5%D5%A1%D5%B6-%D5%B4%D5%A5%D5%AD%D5%A1%D5%B6%D5%AB%D5%A6%D5%B4%D5%B6%D5%A5%D6%80%D5%A8-%D5%80%D5%80-%D5%B8%D6%82%D5%B4.pdf" TargetMode="External"/><Relationship Id="rId15" Type="http://schemas.openxmlformats.org/officeDocument/2006/relationships/hyperlink" Target="https://arar.sci.am/Content/257970/file_0.pdf" TargetMode="External"/><Relationship Id="rId16" Type="http://schemas.openxmlformats.org/officeDocument/2006/relationships/hyperlink" Target="https://artsakhlib.am/wp-content/uploads/2020/04/%D4%B1%D6%80%D5%B4%D5%AB%D5%B6%D5%A5-%D4%B6%D5%A1%D5%AD%D5%A1%D6%80%D5%B5%D5%A1%D5%B6-%D5%93%D5%B8%D6%84%D6%80-%D6%87-%D5%B4%D5%AB%D5%BB%D5%AB%D5%B6-%D5%B1%D5%A5%D5%BC%D5%B6%D5%A1%D6%80%D5%AF%D5%B8%D6%82%D5%A9%D5%B5%D5%B8%D6%82%D5%B6%D5%B6%D5%A5%D6%80%D5%AB-%D5%A4%D5%A5%D6%80%D5%A8-%D5%80%D5%80-%D5%BF%D5%B6%D5%BF%D5%A5%D5%BD%D5%B8%D6%82%D5%A9%D5%B5%D5%A1%D5%B6-%D5%A6%D5%A1%D6%80%D5%A3%D5%A1%D6%81%D5%B4%D5%A1%D5%B6-%D5%A3%D5%B8%D6%80%D5%AE%D5%A8%D5%B6%D5%A9%D5%A1%D6%81%D5%B8%D6%82%D5%B4.pdf" TargetMode="External"/><Relationship Id="rId17" Type="http://schemas.openxmlformats.org/officeDocument/2006/relationships/hyperlink" Target="https://arar.sci.am/Content/257971/file_0.pdf" TargetMode="External"/><Relationship Id="rId18" Type="http://schemas.openxmlformats.org/officeDocument/2006/relationships/hyperlink" Target="https://www.mineconomy.am/media/39730/SME" TargetMode="External"/><Relationship Id="rId19" Type="http://schemas.openxmlformats.org/officeDocument/2006/relationships/hyperlink" Target="https://www.iatp.am/news/avtoreferats/m.khachatryan.pdf" TargetMode="External"/><Relationship Id="rId20" Type="http://schemas.openxmlformats.org/officeDocument/2006/relationships/hyperlink" Target="https://www.mineconomy.am/media/1979/1304.pdf" TargetMode="External"/><Relationship Id="rId21" Type="http://schemas.openxmlformats.org/officeDocument/2006/relationships/hyperlink" Target="https://edrc.am/old/images/State_Budget_Execution/2015_analysis.pdf" TargetMode="External"/><Relationship Id="rId22" Type="http://schemas.openxmlformats.org/officeDocument/2006/relationships/hyperlink" Target="https://e-draft.am/index.php/project/download/pdf?id=10158" TargetMode="External"/><Relationship Id="rId23" Type="http://schemas.openxmlformats.org/officeDocument/2006/relationships/hyperlink" Target="http://old.minagro.am/public/uploads/2017/04/PMDZ-ZAK.pdf" TargetMode="External"/><Relationship Id="rId24" Type="http://schemas.openxmlformats.org/officeDocument/2006/relationships/hyperlink" Target="https://arlis.am/hy/acts/101700/download/act_changes" TargetMode="External"/><Relationship Id="rId25" Type="http://schemas.openxmlformats.org/officeDocument/2006/relationships/hyperlink" Target="https://www.mineconomy.am/media/6269/s.pdf" TargetMode="External"/><Relationship Id="rId26" Type="http://schemas.openxmlformats.org/officeDocument/2006/relationships/hyperlink" Target="https://arhmiutyun.org/wp-content/uploads/2023/07/&#1341;&#1400;&#1408;&#1392;&#1408;&#1380;&#1377;&#1407;&#1406;&#1377;&#1391;&#1377;&#1398;-&#1391;&#1377;&#1408;&#1390;&#1387;&#1412;-3-Gagik-Makaryan.pdf" TargetMode="External"/><Relationship Id="rId27" Type="http://schemas.openxmlformats.org/officeDocument/2006/relationships/hyperlink" Target="https://arar.sci.am/Content/267788" TargetMode="External"/><Relationship Id="rId28" Type="http://schemas.openxmlformats.org/officeDocument/2006/relationships/hyperlink" Target="https://arar.sci.am/Content/257979/file_0.pdf" TargetMode="External"/><Relationship Id="rId29" Type="http://schemas.openxmlformats.org/officeDocument/2006/relationships/hyperlink" Target="https://journals.ysu.am/bulletin-ysu-economics/article/download/Vol.11_No.2_2020_pp.047-056/Vol.11_No.2_2020_pp.047-056.pdf/9393" TargetMode="External"/><Relationship Id="rId30" Type="http://schemas.openxmlformats.org/officeDocument/2006/relationships/hyperlink" Target="https://edrc.am/old/images/Partnership_Strategies/EBRD/armenia_strategy_paper_2015_arm.pdf" TargetMode="External"/><Relationship Id="rId31" Type="http://schemas.openxmlformats.org/officeDocument/2006/relationships/hyperlink" Target="https://www.ebrd.com/content/dam/ebrd_dxp/assets/pdfs/legal-transition/Law" TargetMode="External"/><Relationship Id="rId32" Type="http://schemas.openxmlformats.org/officeDocument/2006/relationships/hyperlink" Target="https://www.adb.org/sites/default/files/publication/939571/armenia-microfinance-sector-glance.pdf" TargetMode="External"/><Relationship Id="rId33" Type="http://schemas.openxmlformats.org/officeDocument/2006/relationships/hyperlink" Target="https://www.adb.org/sites/default/files/project-documents//45903-024-xarr.pdf" TargetMode="External"/><Relationship Id="rId34" Type="http://schemas.openxmlformats.org/officeDocument/2006/relationships/hyperlink" Target="https://www.imf.org/-/media/files/publications/wp/2023/english/wpiea2023004-print-pdf.pdf" TargetMode="External"/><Relationship Id="rId35" Type="http://schemas.openxmlformats.org/officeDocument/2006/relationships/hyperlink" Target="https://research.tilburguniversity.edu/files/1107677/Financing_Constraints_of_SMEs.pdf" TargetMode="External"/><Relationship Id="rId36" Type="http://schemas.openxmlformats.org/officeDocument/2006/relationships/hyperlink" Target="https://iipccl.org/wp-content/uploads/2015/03/Ajbals-17-28.pdf" TargetMode="External"/><Relationship Id="rId37" Type="http://schemas.openxmlformats.org/officeDocument/2006/relationships/hyperlink" Target="https://www.eib.org/files/efs/econ_report_psf_and_the_role_of_rbi_armenia_en.pdf" TargetMode="External"/><Relationship Id="rId38" Type="http://schemas.openxmlformats.org/officeDocument/2006/relationships/hyperlink" Target="https://documents1.worldbank.org/curated/en/099092724122562655/pdf/P1790051b7ddde0d51b13b12b908018aa52.pdf" TargetMode="External"/><Relationship Id="rId39" Type="http://schemas.openxmlformats.org/officeDocument/2006/relationships/hyperlink" Target="https://doi.org/10.2873/255862" TargetMode="External"/><Relationship Id="rId40" Type="http://schemas.openxmlformats.org/officeDocument/2006/relationships/hyperlink" Target="https://assets.gov.ie/static/documents/european-commission-user-guide-to-the-sme-definition-90a44960-8413-4b2c-8433-1b795e0e3.pdf" TargetMode="External"/><Relationship Id="rId41" Type="http://schemas.openxmlformats.org/officeDocument/2006/relationships/hyperlink" Target="https://www.fsb.org/uploads/P070619-1.pdf" TargetMode="External"/><Relationship Id="rId42" Type="http://schemas.openxmlformats.org/officeDocument/2006/relationships/hyperlink" Target="https://wissjournals.com.ng/index.php/wiss/article/download/326/299/328" TargetMode="External"/><Relationship Id="rId43" Type="http://schemas.openxmlformats.org/officeDocument/2006/relationships/hyperlink" Target="https://researchrepository.ilo.org/view/pdfCoverPage?instCode=41ILO_INST&amp;filePid=13100862660002676&amp;download=true" TargetMode="External"/><Relationship Id="rId44" Type="http://schemas.openxmlformats.org/officeDocument/2006/relationships/hyperlink" Target="https://doi.org/10.33119/GN/159035" TargetMode="External"/><Relationship Id="rId45" Type="http://schemas.openxmlformats.org/officeDocument/2006/relationships/hyperlink" Target="https://gnpje.sgh.waw.pl/pdf-159035-88816?filename=Which" TargetMode="External"/><Relationship Id="rId46" Type="http://schemas.openxmlformats.org/officeDocument/2006/relationships/hyperlink" Target="https://documents1.worldbank.org/curated/en/316871533711048308/pdf/129283-WP-PUBLIC-improving-access-to-finance-for-SMEs.pdf" TargetMode="External"/><Relationship Id="rId47" Type="http://schemas.openxmlformats.org/officeDocument/2006/relationships/hyperlink" Target="https://www.doingbusiness.org/content/dam/doingBusiness/media/Special-Reports/improving-access-to-finance-for-SMEs.pdf" TargetMode="External"/><Relationship Id="rId48" Type="http://schemas.openxmlformats.org/officeDocument/2006/relationships/hyperlink" Target="https://publications.iadb.org/publications/english/document/Best-Practices-in-Creating-a-Venture-Capital-Ecosystem.pdf" TargetMode="External"/><Relationship Id="rId49" Type="http://schemas.openxmlformats.org/officeDocument/2006/relationships/hyperlink" Target="https://doi.org/10.30958/ajt.X-Y-Z" TargetMode="External"/><Relationship Id="rId50" Type="http://schemas.openxmlformats.org/officeDocument/2006/relationships/hyperlink" Target="https://www.athensjournals.gr/tourism/2023-5242-AJT-Mendes-05.pdf" TargetMode="External"/><Relationship Id="rId51" Type="http://schemas.openxmlformats.org/officeDocument/2006/relationships/hyperlink" Target="https://unece.org/sites/default/files/2022-06/UNECE_MSME_REEE_Armenia" TargetMode="External"/><Relationship Id="rId52" Type="http://schemas.openxmlformats.org/officeDocument/2006/relationships/hyperlink" Target="https://doi.org/10.3846/16111699.2012.744344" TargetMode="External"/><Relationship Id="rId53" Type="http://schemas.openxmlformats.org/officeDocument/2006/relationships/hyperlink" Target="https://journals.vilniustech.lt/index.php/JBEM/article/download/2685/2196" TargetMode="External"/><Relationship Id="rId54" Type="http://schemas.openxmlformats.org/officeDocument/2006/relationships/hyperlink" Target="https://enlargement.ec.europa.eu/system/files/2021-09/armenia_-_sme_fact_sheet_2021.pdf" TargetMode="External"/><Relationship Id="rId55" Type="http://schemas.openxmlformats.org/officeDocument/2006/relationships/hyperlink" Target="https://www.undp.org/sites/g/files/zskgke326/files/2022-11/DFA" TargetMode="External"/><Relationship Id="rId56" Type="http://schemas.openxmlformats.org/officeDocument/2006/relationships/hyperlink" Target="https://documents1.worldbank.org/curated/en/270221582271669731/pdf/Capital-Markets-and-SMEs-in-Emerging-Markets-and-Developing-Economies-Can-They-Go-the-Distance.pdf"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