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Қазақстандағы шағын және орта бизнесті мемлекеттік қолдау</w:t>
      </w: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Ғылыми жетекші: [Ғылыми дәрежесі, аты-жөні]</w:t>
      </w: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Мазмұны</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8"/>
        </w:rPr>
        <w:t>Аңдатпа</w:t>
      </w:r>
      <w:r>
        <w:fldChar w:fldCharType="end"/>
      </w:r>
      <w:r>
        <w:rPr>
          <w:rFonts w:ascii="Times New Roman" w:hAnsi="Times New Roman"/>
          <w:sz w:val="28"/>
        </w:rPr>
        <w:tab/>
      </w:r>
      <w:r>
        <w:fldChar w:fldCharType="begin" w:dirty="true"/>
      </w:r>
      <w:r>
        <w:instrText xml:space="preserve"> PAGEREF _Toc_heading_0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8"/>
        </w:rPr>
        <w:t>Кіріспе</w:t>
      </w:r>
      <w:r>
        <w:fldChar w:fldCharType="end"/>
      </w:r>
      <w:r>
        <w:rPr>
          <w:rFonts w:ascii="Times New Roman" w:hAnsi="Times New Roman"/>
          <w:sz w:val="28"/>
        </w:rPr>
        <w:tab/>
      </w:r>
      <w:r>
        <w:fldChar w:fldCharType="begin" w:dirty="true"/>
      </w:r>
      <w:r>
        <w:instrText xml:space="preserve"> PAGEREF _Toc_heading_1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8"/>
        </w:rPr>
        <w:t>1 ШАҒЫН ЖӘНЕ ОРТА БИЗНЕСТІ МЕМЛЕКЕТТІК ҚОЛДАУДЫҢ ТЕОРИЯЛЫҚ-ӘДІСНАМАЛЫҚ НЕГІЗДЕРІ</w:t>
      </w:r>
      <w:r>
        <w:fldChar w:fldCharType="end"/>
      </w:r>
      <w:r>
        <w:rPr>
          <w:rFonts w:ascii="Times New Roman" w:hAnsi="Times New Roman"/>
          <w:sz w:val="28"/>
        </w:rPr>
        <w:tab/>
      </w:r>
      <w:r>
        <w:fldChar w:fldCharType="begin" w:dirty="true"/>
      </w:r>
      <w:r>
        <w:instrText xml:space="preserve"> PAGEREF _Toc_heading_2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"_Toc_heading_3" </w:instrText>
      </w:r>
      <w:r>
        <w:fldChar w:fldCharType="separate"/>
      </w:r>
      <w:r>
        <w:rPr>
          <w:rFonts w:ascii="Times New Roman" w:hAnsi="Times New Roman"/>
          <w:sz w:val="28"/>
        </w:rPr>
        <w:t>1.1. Шағын және орта бизнестің экономикадағы рөлі мен маңызы</w:t>
      </w:r>
      <w:r>
        <w:fldChar w:fldCharType="end"/>
      </w:r>
      <w:r>
        <w:rPr>
          <w:rFonts w:ascii="Times New Roman" w:hAnsi="Times New Roman"/>
          <w:sz w:val="28"/>
        </w:rPr>
        <w:tab/>
      </w:r>
      <w:r>
        <w:fldChar w:fldCharType="begin" w:dirty="true"/>
      </w:r>
      <w:r>
        <w:instrText xml:space="preserve"> PAGEREF _Toc_heading_3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"_Toc_heading_4" </w:instrText>
      </w:r>
      <w:r>
        <w:fldChar w:fldCharType="separate"/>
      </w:r>
      <w:r>
        <w:rPr>
          <w:rFonts w:ascii="Times New Roman" w:hAnsi="Times New Roman"/>
          <w:sz w:val="28"/>
        </w:rPr>
        <w:t>1.2. Шағын және орта бизнесті мемлекеттік қолдаудың қажеттілігі және негізгі формалары</w:t>
      </w:r>
      <w:r>
        <w:fldChar w:fldCharType="end"/>
      </w:r>
      <w:r>
        <w:rPr>
          <w:rFonts w:ascii="Times New Roman" w:hAnsi="Times New Roman"/>
          <w:sz w:val="28"/>
        </w:rPr>
        <w:tab/>
      </w:r>
      <w:r>
        <w:fldChar w:fldCharType="begin" w:dirty="true"/>
      </w:r>
      <w:r>
        <w:instrText xml:space="preserve"> PAGEREF _Toc_heading_4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"_Toc_heading_5" </w:instrText>
      </w:r>
      <w:r>
        <w:fldChar w:fldCharType="separate"/>
      </w:r>
      <w:r>
        <w:rPr>
          <w:rFonts w:ascii="Times New Roman" w:hAnsi="Times New Roman"/>
          <w:sz w:val="28"/>
        </w:rPr>
        <w:t>1.3. Шағын және орта бизнесті мемлекеттік қолдаудың халықаралық тәжірибесі</w:t>
      </w:r>
      <w:r>
        <w:fldChar w:fldCharType="end"/>
      </w:r>
      <w:r>
        <w:rPr>
          <w:rFonts w:ascii="Times New Roman" w:hAnsi="Times New Roman"/>
          <w:sz w:val="28"/>
        </w:rPr>
        <w:tab/>
      </w:r>
      <w:r>
        <w:fldChar w:fldCharType="begin" w:dirty="true"/>
      </w:r>
      <w:r>
        <w:instrText xml:space="preserve"> PAGEREF _Toc_heading_5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"_Toc_heading_6" </w:instrText>
      </w:r>
      <w:r>
        <w:fldChar w:fldCharType="separate"/>
      </w:r>
      <w:r>
        <w:rPr>
          <w:rFonts w:ascii="Times New Roman" w:hAnsi="Times New Roman"/>
          <w:sz w:val="28"/>
        </w:rPr>
        <w:t>2 ҚАЗАҚСТАНДАҒЫ ШАҒЫН ЖӘНЕ ОРТА БИЗНЕСТІ МЕМЛЕКЕТТІК ҚОЛДАУДЫҢ ҚАЗІРГІ ЖАҒДАЙЫН ТАЛДАУ</w:t>
      </w:r>
      <w:r>
        <w:fldChar w:fldCharType="end"/>
      </w:r>
      <w:r>
        <w:rPr>
          <w:rFonts w:ascii="Times New Roman" w:hAnsi="Times New Roman"/>
          <w:sz w:val="28"/>
        </w:rPr>
        <w:tab/>
      </w:r>
      <w:r>
        <w:fldChar w:fldCharType="begin" w:dirty="true"/>
      </w:r>
      <w:r>
        <w:instrText xml:space="preserve"> PAGEREF _Toc_heading_6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"_Toc_heading_7" </w:instrText>
      </w:r>
      <w:r>
        <w:fldChar w:fldCharType="separate"/>
      </w:r>
      <w:r>
        <w:rPr>
          <w:rFonts w:ascii="Times New Roman" w:hAnsi="Times New Roman"/>
          <w:sz w:val="28"/>
        </w:rPr>
        <w:t>2.1. Қазақстандағы шағын және орта бизнестің дамуының негізгі көрсеткіштері</w:t>
      </w:r>
      <w:r>
        <w:fldChar w:fldCharType="end"/>
      </w:r>
      <w:r>
        <w:rPr>
          <w:rFonts w:ascii="Times New Roman" w:hAnsi="Times New Roman"/>
          <w:sz w:val="28"/>
        </w:rPr>
        <w:tab/>
      </w:r>
      <w:r>
        <w:fldChar w:fldCharType="begin" w:dirty="true"/>
      </w:r>
      <w:r>
        <w:instrText xml:space="preserve"> PAGEREF _Toc_heading_7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"_Toc_heading_8" </w:instrText>
      </w:r>
      <w:r>
        <w:fldChar w:fldCharType="separate"/>
      </w:r>
      <w:r>
        <w:rPr>
          <w:rFonts w:ascii="Times New Roman" w:hAnsi="Times New Roman"/>
          <w:sz w:val="28"/>
        </w:rPr>
        <w:t>2.2. Қазақстандағы ШОБ-ты мемлекеттік қолдаудың негізгі бағдарламалары мен құралдары</w:t>
      </w:r>
      <w:r>
        <w:fldChar w:fldCharType="end"/>
      </w:r>
      <w:r>
        <w:rPr>
          <w:rFonts w:ascii="Times New Roman" w:hAnsi="Times New Roman"/>
          <w:sz w:val="28"/>
        </w:rPr>
        <w:tab/>
      </w:r>
      <w:r>
        <w:fldChar w:fldCharType="begin" w:dirty="true"/>
      </w:r>
      <w:r>
        <w:instrText xml:space="preserve"> PAGEREF _Toc_heading_8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"_Toc_heading_9" </w:instrText>
      </w:r>
      <w:r>
        <w:fldChar w:fldCharType="separate"/>
      </w:r>
      <w:r>
        <w:rPr>
          <w:rFonts w:ascii="Times New Roman" w:hAnsi="Times New Roman"/>
          <w:sz w:val="28"/>
        </w:rPr>
        <w:t>2.3. Мемлекеттік қолдау шараларының тиімділігін бағалау және проблемалары</w:t>
      </w:r>
      <w:r>
        <w:fldChar w:fldCharType="end"/>
      </w:r>
      <w:r>
        <w:rPr>
          <w:rFonts w:ascii="Times New Roman" w:hAnsi="Times New Roman"/>
          <w:sz w:val="28"/>
        </w:rPr>
        <w:tab/>
      </w:r>
      <w:r>
        <w:fldChar w:fldCharType="begin" w:dirty="true"/>
      </w:r>
      <w:r>
        <w:instrText xml:space="preserve"> PAGEREF _Toc_heading_9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"_Toc_heading_10" </w:instrText>
      </w:r>
      <w:r>
        <w:fldChar w:fldCharType="separate"/>
      </w:r>
      <w:r>
        <w:rPr>
          <w:rFonts w:ascii="Times New Roman" w:hAnsi="Times New Roman"/>
          <w:sz w:val="28"/>
        </w:rPr>
        <w:t>3 ҚАЗАҚСТАНДАҒЫ ШАҒЫН ЖӘНЕ ОРТА БИЗНЕСТІ МЕМЛЕКЕТТІК ҚОЛДАУ ЖҮЙЕСІН ЖЕТІЛДІРУ ЖОЛДАРЫ</w:t>
      </w:r>
      <w:r>
        <w:fldChar w:fldCharType="end"/>
      </w:r>
      <w:r>
        <w:rPr>
          <w:rFonts w:ascii="Times New Roman" w:hAnsi="Times New Roman"/>
          <w:sz w:val="28"/>
        </w:rPr>
        <w:tab/>
      </w:r>
      <w:r>
        <w:fldChar w:fldCharType="begin" w:dirty="true"/>
      </w:r>
      <w:r>
        <w:instrText xml:space="preserve"> PAGEREF _Toc_heading_10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"_Toc_heading_11" </w:instrText>
      </w:r>
      <w:r>
        <w:fldChar w:fldCharType="separate"/>
      </w:r>
      <w:r>
        <w:rPr>
          <w:rFonts w:ascii="Times New Roman" w:hAnsi="Times New Roman"/>
          <w:sz w:val="28"/>
        </w:rPr>
        <w:t>3.1. Мемлекеттік қолдау механизмдерін оңтайландыру бойынша ұсыныстар</w:t>
      </w:r>
      <w:r>
        <w:fldChar w:fldCharType="end"/>
      </w:r>
      <w:r>
        <w:rPr>
          <w:rFonts w:ascii="Times New Roman" w:hAnsi="Times New Roman"/>
          <w:sz w:val="28"/>
        </w:rPr>
        <w:tab/>
      </w:r>
      <w:r>
        <w:fldChar w:fldCharType="begin" w:dirty="true"/>
      </w:r>
      <w:r>
        <w:instrText xml:space="preserve"> PAGEREF _Toc_heading_11 \h </w:instrText>
      </w:r>
      <w:r>
        <w:fldChar w:fldCharType="separate"/>
      </w:r>
      <w:r>
        <w:rPr>
          <w:rFonts w:ascii="Times New Roman" w:hAnsi="Times New Roman"/>
          <w:sz w:val="28"/>
        </w:rPr>
        <w:t>1</w:t>
      </w:r>
      <w:r>
        <w:fldChar w:fldCharType="end"/>
      </w:r>
    </w:p>
    <w:p>
      <w:pPr>
        <w:pStyle w:val="TOC2"/>
        <w:ind w:firstLine="0" w:left="567"/>
      </w:pPr>
      <w:r>
        <w:fldChar w:fldCharType="begin"/>
      </w:r>
      <w:r>
        <w:instrText xml:space="preserve"> HYPERLINK \l "_Toc_heading_12" </w:instrText>
      </w:r>
      <w:r>
        <w:fldChar w:fldCharType="separate"/>
      </w:r>
      <w:r>
        <w:rPr>
          <w:rFonts w:ascii="Times New Roman" w:hAnsi="Times New Roman"/>
          <w:sz w:val="28"/>
        </w:rPr>
        <w:t>3.2. ШОБ-ты қолдаудың жаңа перспективалық бағыттары</w:t>
      </w:r>
      <w:r>
        <w:fldChar w:fldCharType="end"/>
      </w:r>
      <w:r>
        <w:rPr>
          <w:rFonts w:ascii="Times New Roman" w:hAnsi="Times New Roman"/>
          <w:sz w:val="28"/>
        </w:rPr>
        <w:tab/>
      </w:r>
      <w:r>
        <w:fldChar w:fldCharType="begin" w:dirty="true"/>
      </w:r>
      <w:r>
        <w:instrText xml:space="preserve"> PAGEREF _Toc_heading_12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"_Toc_heading_13" </w:instrText>
      </w:r>
      <w:r>
        <w:fldChar w:fldCharType="separate"/>
      </w:r>
      <w:r>
        <w:rPr>
          <w:rFonts w:ascii="Times New Roman" w:hAnsi="Times New Roman"/>
          <w:sz w:val="28"/>
        </w:rPr>
        <w:t>Қорытынды</w:t>
      </w:r>
      <w:r>
        <w:fldChar w:fldCharType="end"/>
      </w:r>
      <w:r>
        <w:rPr>
          <w:rFonts w:ascii="Times New Roman" w:hAnsi="Times New Roman"/>
          <w:sz w:val="28"/>
        </w:rPr>
        <w:tab/>
      </w:r>
      <w:r>
        <w:fldChar w:fldCharType="begin" w:dirty="true"/>
      </w:r>
      <w:r>
        <w:instrText xml:space="preserve"> PAGEREF _Toc_heading_13 \h </w:instrText>
      </w:r>
      <w:r>
        <w:fldChar w:fldCharType="separate"/>
      </w:r>
      <w:r>
        <w:rPr>
          <w:rFonts w:ascii="Times New Roman" w:hAnsi="Times New Roman"/>
          <w:sz w:val="28"/>
        </w:rPr>
        <w:t>1</w:t>
      </w:r>
      <w:r>
        <w:fldChar w:fldCharType="end"/>
      </w:r>
    </w:p>
    <w:p>
      <w:pPr>
        <w:spacing w:after="0"/>
        <w:ind w:firstLine="0" w:left="0"/>
      </w:pPr>
      <w:r>
        <w:fldChar w:fldCharType="end"/>
      </w:r>
    </w:p>
    <w:p>
      <w:r>
        <w:br w:type="page"/>
      </w:r>
    </w:p>
    <w:p>
      <w:pPr>
        <w:pStyle w:val="Heading1"/>
      </w:pPr>
      <w:bookmarkStart w:id="100" w:name="_Toc_heading_0"/>
      <w:r>
        <w:t>Аңдатпа</w:t>
      </w:r>
      <w:bookmarkEnd w:id="100"/>
    </w:p>
    <w:p>
      <w:r>
        <w:t>Дипломдық жұмыста Қазақстан Республикасындағы шағын және орта бизнесті (ШОБ) мемлекеттік қолдау жүйесі кешенді зерттелді. Зерттеу мақсаты — қолданыстағы жүйені талдау, тиімділігіне кедергі келтіретін проблемаларды анықтап, оны жетілдіру бойынша ұсыныстар әзірлеу. Зерттеу нысаны — ШОБ-ты мемлекеттік қолдау жүйесі, ал пәні — осы процестегі экономикалық қатынастар.</w:t>
      </w:r>
    </w:p>
    <w:p>
      <w:r>
        <w:t>Талдау барысында сандық өсімге қарамастан, құрылымдық және аймақтық теңгерімсіздіктер, сондай-ақ орта бизнестің баяу өсуі («missing middle») сияқты жүйелі проблемалар анықталды. Сектордың дамуын тежейтін негізгі факторлар да белгілі болды. Олар — қаржыландыруға қол жеткізудің қиындығы, бюрократиялық кедергілер және ақпараттық қолдаудың әлсіздігі.</w:t>
      </w:r>
    </w:p>
    <w:p>
      <w:r>
        <w:t>Зерттеу қорытындысында осы мәселелерді шешуге бағытталған нақты ұсыныстар келтірілді. Олардың қатарында несиелік ресурстарды өңірлерге әділ бөлу тетіктерін енгізу, «реттеуші гильотина» арқылы әкімшілік жүктемені азайту, сонымен бірге барлық мемлекеттік қолдау шараларын біріктіретін бірыңғай цифрлық платформа құру бар. Бұл шаралардың мақсаты — кәсіпкерлік ахуалды жақсарту және мемлекеттік саясаттың тиімділігін арттыру.</w:t>
      </w:r>
    </w:p>
    <w:p>
      <w:r>
        <w:br w:type="page"/>
      </w:r>
    </w:p>
    <w:p>
      <w:pPr>
        <w:pStyle w:val="Heading1"/>
      </w:pPr>
      <w:bookmarkStart w:id="101" w:name="_Toc_heading_1"/>
      <w:r>
        <w:t>Кіріспе</w:t>
      </w:r>
      <w:bookmarkEnd w:id="101"/>
    </w:p>
    <w:p>
      <w:r>
        <w:t>Шағын және орта бизнес (ШОБ) — кез келген елдің экономикалық дамуының негізі, әлеуметтік тұрақтылық пен орта тапты қалыптастырудың маңызды факторы [Сейтжанов б.ж., 104-б.; ЖАКСЫЛЫКОВА б.ж., 155-б.]. Дамыған елдерде ШОБ секторы жалпы ішкі өнімнің (ЖІӨ) 50%-дан астамын және жұмыс орындарының басым бөлігін қамтамасыз ететіндіктен, Қазақстан үшін де оны дамыту — экономикалық саясаттың басты басымдығы [ЖАКСЫЛЫКОВА б.ж., 156-б.]. Мәселен, 2024 жылы ШОБ-тың ЖІӨ-дегі үлесі 39,7%-ға жетіп, бұл салада 4,4 млн адам жұмыспен қамтылды [Малый и средний бизнес Казахстана: перспективы и вызовы 2025, 1-3-б.], ал 2024 жылғы 1 сәуірдегі жағдай бойынша тіркелген субъектілер саны 2 187 241 бірлікті құрады [Сыздықова 2024, 3-б.].</w:t>
      </w:r>
    </w:p>
    <w:p>
      <w:r>
        <w:t>Дегенмен, оң көрсеткіштерге қарамастан, Қазақстандағы ШОБ дамуы бірқатар жүйелі проблемаға тап болып отыр. Олардың бірі — аймақтық және салалық теңгерімсіздік. Кәсіпкерлік белсенділіктің басым бөлігі Алматы, Астана, Шымкент сияқты ірі қалаларда шоғырланған, ал салалық құрылымда кіру шегі төмен сауда секторы үстемдік етеді [Малый и средний бизнес Казахстана: перспективы и вызовы 2025, 1-б.]. Екіншіден, қаржыландыруға қол жеткізу — ШОБ үшін ең өзекті мәселенің бірі. Банктердің жоғары пайыздық мөлшерлемелері, қатаң кепілдік талаптары және несиелік ресурстардың өңірлер бойынша әркелкі бөлінуі көптеген кәсіпкердің даму әлеуетін шектейді [Сейтжанов б.ж., 106-б.; ЖАКСЫЛЫКОВА б.ж., 155-б.]. Бұған қоса, шағын кәсіпорындармен салыстырғанда орта бизнестің баяу өсуі алаңдатады. Орта бизнес инновация енгізуге және жоғары өнімді жұмыс орындарын құруға қауқарлы болғанымен, оның ЖІӨ-дегі үлесі 2024 жылы небәрі 7,0%-ды құрады, бұл көрсеткіш 2025 жылға қойылған 15% межесінен әлдеқайда төмен [Малый и средний бизнес Казахстана: перспективы и вызовы 2025, 2-б.].</w:t>
      </w:r>
    </w:p>
    <w:p>
      <w:r>
        <w:t>Сонымен қатар, тұрақсыз заңнама, күрделі реттеушілік процедуралар, әкімшілік кедергілер және сыбайлас жемқорлық сияқты институционалдық проблемалар кәсіпкерлік ахуалға кері әсер етеді [Туребекова 2019, 3-б.]. Мемлекет көптеген қолдау бағдарламасын іске асырғанымен, олардың тиімділігі күмән тудырады. Кәсіпкерлердің бағдарламалар туралы жеткілікті хабардар болмауы, құжаттарды ресімдеудің күрделілігі және қолдаудың нақты қажеттілікке сай келмеуі жиі сынға алынады [Урузбаева 2022, 10-б.]. Сондай-ақ, ресми статистикадағы ШОБ субъектілерін жіктеу әдіснамасының кемшіліктері сектордың нақты жағдайын бағалауды және ғылыми негізделген шешім қабылдауды қиындатады [Малый и средний бизнес Казахстана: перспективы и вызовы 2025, 3-б.]. Осы мәселелердің барлығы Қазақстандағы шағын және орта бизнесті мемлекеттік қолдау тетіктерін терең зерттеп, тиімділігін арттыру жолдарын іздеу қажеттігін көрсетеді.</w:t>
      </w:r>
    </w:p>
    <w:p>
      <w:r>
        <w:t>Зерттеу жұмысының мақсаты — Қазақстандағы шағын және орта бизнесті мемлекеттік қолдаудың қазіргі жүйесін кешенді талдау, оның тиімділігіне кедергі келтіретін негізгі проблемаларды анықтау және озық халықаралық тәжірибе негізінде оны жетілдіру бойынша ғылыми негізделген ұсыныстар әзірлеу.</w:t>
      </w:r>
    </w:p>
    <w:p>
      <w:r>
        <w:t>Зерттеу міндеттері.</w:t>
      </w:r>
    </w:p>
    <w:p>
      <w:r>
        <w:t>1. Шағын және орта бизнесті мемлекеттік қолдаудың теориялық-әдіснамалық негіздерін зерттеу;</w:t>
      </w:r>
    </w:p>
    <w:p>
      <w:r>
        <w:t>2. ШОБ-ты мемлекеттік қолдаудың халықаралық тәжірибесін талдап, Қазақстан үшін тиімді модельдерді анықтау;</w:t>
      </w:r>
    </w:p>
    <w:p>
      <w:r>
        <w:t>3. Қазақстандағы ШОБ дамуының ағымдағы жай-күйіне, негізгі көрсеткіштері мен үрдістеріне талдау жасау;</w:t>
      </w:r>
    </w:p>
    <w:p>
      <w:r>
        <w:t>4. Қазақстандағы ШОБ-ты мемлекеттік қолдаудың негізгі бағдарламалары мен құралдарының тиімділігін бағалау және олардың проблемаларын жүйелеу;</w:t>
      </w:r>
    </w:p>
    <w:p>
      <w:r>
        <w:t>5. Қаржылық, институционалдық және ақпараттық қолдау шараларын оңтайландыру арқылы Қазақстандағы ШОБ-ты мемлекеттік қолдау жүйесін жетілдіру бойынша нақты ұсыныстар әзірлеу.</w:t>
      </w:r>
    </w:p>
    <w:p>
      <w:r>
        <w:t>Зерттеу нысаны — Қазақстан Республикасындағы шағын және орта бизнесті мемлекеттік қолдау жүйесі.</w:t>
      </w:r>
    </w:p>
    <w:p>
      <w:r>
        <w:t>Зерттеу пәні — шағын және орта бизнесті мемлекеттік қолдау процесінде туындайтын экономикалық қатынастар мен тетіктер, сондай-ақ олардың тиімділігін арттыру жолдары.</w:t>
      </w:r>
    </w:p>
    <w:p>
      <w:r>
        <w:t>Зерттеудің теориялық және практикалық маңыздылығы. Зерттеудің теориялық маңыздылығы оның нәтижелерінің кәсіпкерлікті мемлекеттік реттеу теориясын толықтыруымен, атап айтқанда, өтпелі экономика жағдайында ШОБ-ты қолдаудың ерекшеліктерін ашуымен анықталады. Жұмыстың практикалық маңыздылығы әзірленген ұсыныстардың Қазақстан Республикасының мемлекеттік органдары (Ұлттық экономика министрлігі, жергілікті атқарушы органдар), «Даму» кәсіпкерлікті дамыту қоры» АҚ, «Атамекен» ҰКП сияқты даму институттары үшін мемлекеттік бағдарламаларды жетілдіруде, олардың атаулылығы мен тиімділігін арттыруда қолданылуы мүмкіндігінде.</w:t>
      </w:r>
    </w:p>
    <w:p>
      <w:r>
        <w:t>Дипломдық жұмыстың құрылымы. Бірінші тарауда шағын және орта бизнесті мемлекеттік қолдаудың теориялық негіздері мен халықаралық тәжірибесі қарастырылады. Екінші тарауда Қазақстандағы ШОБ дамуының негізгі көрсеткіштері талданып, мемлекеттік қолдау бағдарламаларының тиімділігі бағаланады. Үшінші тарауда ШОБ-ты мемлекеттік қолдау жүйесін жетілдіру бойынша нақты ұсыныстар беріледі.</w:t>
      </w:r>
    </w:p>
    <w:p>
      <w:r>
        <w:br w:type="page"/>
      </w:r>
    </w:p>
    <w:p>
      <w:pPr>
        <w:pStyle w:val="Heading1"/>
      </w:pPr>
      <w:bookmarkStart w:id="102" w:name="_Toc_heading_2"/>
      <w:r>
        <w:t>1 ШАҒЫН ЖӘНЕ ОРТА БИЗНЕСТІ МЕМЛЕКЕТТІК ҚОЛДАУДЫҢ ТЕОРИЯЛЫҚ-ӘДІСНАМАЛЫҚ НЕГІЗДЕРІ</w:t>
      </w:r>
      <w:bookmarkEnd w:id="102"/>
    </w:p>
    <w:p>
      <w:pPr>
        <w:pStyle w:val="Heading2"/>
      </w:pPr>
      <w:bookmarkStart w:id="103" w:name="_Toc_heading_3"/>
      <w:r>
        <w:t>1.1. Шағын және орта бизнестің экономикадағы рөлі мен маңызы</w:t>
      </w:r>
      <w:bookmarkEnd w:id="103"/>
    </w:p>
    <w:p>
      <w:r>
        <w:t>Шағын және орта бизнес (ШОБ) — қазіргі заманғы нарықтық бәсекеге негізделген экономиканың ажырамас әрі қажетті элементі [15, 99-б.]. Ғылыми әдебиеттерде кәсіпкерлік мәселесі А. Маршалл, Ф. Хайек, Ф. Найт сияқты классикалық экономистердің еңбектерінен бастау алып, бүгінде зерттеушілер тарапынан жан-жақты қарастырылып келеді [10, 40-б.]. Жалпы қабылданған тұжырым бойынша, ШОБ секторының тиімді жұмыс істеуі ел экономикасының тұрақтылығы мен дамуының негізі саналады [18, 254-б.]. Оның экономикадағы рөлі көпқырлы.</w:t>
      </w:r>
    </w:p>
    <w:p>
      <w:r>
        <w:t>Экономикалық өсуге ШОБ-тың ықпал етуіне қатысты бірнеше теориялық көзқарас бар. Бір теориялық бағыт олардың құрылымдық функциясына назар аударады. Бұл көзқарас бойынша, ШОБ, әсіресе сауда және қызмет көрсету салаларында, жергілікті өндірушілерден тауар сатып алу арқылы шағын «сауда-өндірістік кластерлерді» қалыптастырып, кірістің басым бөлігін жергілікті экономикаға қайта инвестициялайды [5, 21-б.]. Екінші бір теориялық пайымдау ШОБ-тың экономикалық циклдегі динамикалық рөлін қарастырады. «Грюндерлік» (нем. Gründerzeit — құрылтайшылық дәуірі) тұжырымдамасына сәйкес, технологиялық немесе институционалдық өзгерістер, соның ішінде экономикалық дағдарыстар, жаңа фирмалардың жаппай құрылу толқынын тудыра отырып, экономиканың құрылымдық қайта құрылуына және қалпына келуіне ықпал етеді [1, 29-б.]. Осындай икемділіктің арқасында ШОБ экономикадағы өзгерістерге жылдам бейімделіп, «макроэкономикалық процестердің теңгерімді өсу траекториясын» қамтамасыз етеді [8, 7-б.]. Демек, теориялық тұрғыдан ШОБ жұмыс орындарын құрумен қатар, жергілікті экономикалық интеграция, циклдік реттелу және макроэкономикалық тұрақтылық үшін маңызды агент рөлін атқарады.</w:t>
      </w:r>
    </w:p>
    <w:p>
      <w:r>
        <w:t>Біріншіден, ШОБ маңызды әлеуметтік функция атқарады. Бұл сектор — жұмыс орындарын құрудың, халықты жұмыспен қамту деңгейін арттырудың және сол арқылы жұмыссыздықты азайтудың негізгі көзі [19, 10-б.]. Дамыған елдердің тәжірибесі мұны айқын көрсетеді. Мысалы, Америка Құрама Штаттарында жеке сектордағы жұмысшылардың 50%-дан астамы, Жапонияда — 71,7%-ы, ал Еуропалық Одақ елдерінде шамамен 50%-ы шағын және орта кәсіпорындарда жұмыс істейді [15, 99-б.; 20, 21-б.]. Сонымен қатар, бұл сектор «орта тапты» қалыптастырудың іргетасы ретінде қарастырылады, алайда оның бұл рөлі әртүрлі экономикалық модельдерде әрқилы жүзеге асуы мүмкін. Кейбір зерттеушілердің пікірінше, шағын кәсіпкерлік «орта таптың» қатарын жоғары жалақы алатын жалдамалы қызметкерлер есебінен емес, негізінен меншік иелері класын қалыптастыру арқылы толықтырады [11, 1-б.].</w:t>
      </w:r>
    </w:p>
    <w:p>
      <w:r>
        <w:t>Екіншіден, ШОБ нарықтық бәсекелестікті дамытуға және салауатты бәсекелестік ортаны қалыптастыруға елеулі үлес қосады. Көптеген шағын және орта кәсіпорындардың болуы монополиялардың пайда болуына тосқауыл қояды, ал ірі корпорациялар стандартталған жаппай өнімге назар аударса, шағын компаниялар тұтынушылардың ерекше сұраныстарына жауап беретін тауашалық (ниша) өнімдерді ұсына алады [10, 40-б.]. Осылайша олар нарықтағы тауар мен қызмет ұсынысының түр-түрін кеңейтеді. Бұл тұтынушылардың таңдауын арттырады [17, 7-9-б.; 20, 21-б.].</w:t>
      </w:r>
    </w:p>
    <w:p>
      <w:r>
        <w:t>Үшіншіден, ШОБ — инновация мен икемділіктің қозғаушы күші. Ірі компанияларға қарағанда ШОБ субъектілері бюрократиялық кедергілердің аздығынан шешімді жылдам қабылдап, нарықтағы өзгерістерге жедел бейімделе алады [19, 10-б.], бұл оларға жаңа технологияларды енгізуге, тәуекелге негізделген инновациялық жобаларды жүзеге асыруға мүмкіндік береді [17, 7-9-б.]. Көптеген зерттеулерде ШОБ-тың инновацияға бейімділігі ғылыми-техникалық прогрестің маңызды факторы ретінде атап өтіледі [13, 7-б.]. Бұған қоса, шағын венчурлік ұйымдар жаңа идеяларды әзірлеп, оларды экономиканың түрлі салаларына тасымалдау (трансфер) функциясын орындайды [1, 30-б.]. Экономикалық дағдарыс немесе технологиялық өзгерістер кезінде жаңа фирмалардың жаппай құрылуы — осы икемділіктің тағы бір көрінісі [1, 29-б.].</w:t>
      </w:r>
    </w:p>
    <w:p>
      <w:r>
        <w:t>ШОБ-тың экономикадағы маңызы сандық көрсеткіштермен де өлшенеді. Әлемдік тәжірибеде бұл сектордың жалпы ішкі өнімге (ЖІӨ) қосатын үлесі айтарлықтай жоғары.</w:t>
      </w:r>
    </w:p>
    <w:tbl>
      <w:tblPr>
        <w:tblStyle w:val="TableGrid"/>
        <w:tblW w:type="auto" w:w="0"/>
        <w:tblLayout w:type="autofit"/>
        <w:tblLook w:firstColumn="1" w:firstRow="1" w:lastColumn="0" w:lastRow="0" w:noHBand="0" w:noVBand="1" w:val="04A0"/>
      </w:tblPr>
      <w:tblGrid>
        <w:gridCol w:w="3213"/>
        <w:gridCol w:w="3213"/>
        <w:gridCol w:w="3213"/>
      </w:tblGrid>
      <w:tr>
        <w:tc>
          <w:tcPr>
            <w:tcW w:type="dxa" w:w="3213"/>
          </w:tcPr>
          <w:p>
            <w:r>
              <w:rPr>
                <w:rFonts w:ascii="Times New Roman" w:hAnsi="Times New Roman"/>
                <w:b/>
                <w:sz w:val="28"/>
              </w:rPr>
              <w:t>Ел</w:t>
            </w:r>
          </w:p>
        </w:tc>
        <w:tc>
          <w:tcPr>
            <w:tcW w:type="dxa" w:w="3213"/>
          </w:tcPr>
          <w:p>
            <w:r>
              <w:rPr>
                <w:rFonts w:ascii="Times New Roman" w:hAnsi="Times New Roman"/>
                <w:b/>
                <w:sz w:val="28"/>
              </w:rPr>
              <w:t>ЖІӨ-дегі үлесі, %</w:t>
            </w:r>
          </w:p>
        </w:tc>
        <w:tc>
          <w:tcPr>
            <w:tcW w:type="dxa" w:w="3213"/>
          </w:tcPr>
          <w:p>
            <w:r>
              <w:rPr>
                <w:rFonts w:ascii="Times New Roman" w:hAnsi="Times New Roman"/>
                <w:b/>
                <w:sz w:val="28"/>
              </w:rPr>
              <w:t>Жұмыспен қамтудағы үлесі, %</w:t>
            </w:r>
          </w:p>
        </w:tc>
      </w:tr>
      <w:tr>
        <w:tc>
          <w:tcPr>
            <w:tcW w:type="dxa" w:w="3213"/>
          </w:tcPr>
          <w:p>
            <w:r>
              <w:rPr>
                <w:rFonts w:ascii="Times New Roman" w:hAnsi="Times New Roman"/>
                <w:sz w:val="28"/>
              </w:rPr>
              <w:t>Жапония</w:t>
            </w:r>
          </w:p>
        </w:tc>
        <w:tc>
          <w:tcPr>
            <w:tcW w:type="dxa" w:w="3213"/>
          </w:tcPr>
          <w:p>
            <w:r>
              <w:rPr>
                <w:rFonts w:ascii="Times New Roman" w:hAnsi="Times New Roman"/>
                <w:sz w:val="28"/>
              </w:rPr>
              <w:t>63</w:t>
            </w:r>
          </w:p>
        </w:tc>
        <w:tc>
          <w:tcPr>
            <w:tcW w:type="dxa" w:w="3213"/>
          </w:tcPr>
          <w:p>
            <w:r>
              <w:rPr>
                <w:rFonts w:ascii="Times New Roman" w:hAnsi="Times New Roman"/>
                <w:sz w:val="28"/>
              </w:rPr>
              <w:t>71,7–77</w:t>
            </w:r>
          </w:p>
        </w:tc>
      </w:tr>
      <w:tr>
        <w:tc>
          <w:tcPr>
            <w:tcW w:type="dxa" w:w="3213"/>
          </w:tcPr>
          <w:p>
            <w:r>
              <w:rPr>
                <w:rFonts w:ascii="Times New Roman" w:hAnsi="Times New Roman"/>
                <w:sz w:val="28"/>
              </w:rPr>
              <w:t>Қытай</w:t>
            </w:r>
          </w:p>
        </w:tc>
        <w:tc>
          <w:tcPr>
            <w:tcW w:type="dxa" w:w="3213"/>
          </w:tcPr>
          <w:p>
            <w:r>
              <w:rPr>
                <w:rFonts w:ascii="Times New Roman" w:hAnsi="Times New Roman"/>
                <w:sz w:val="28"/>
              </w:rPr>
              <w:t>65</w:t>
            </w:r>
          </w:p>
        </w:tc>
        <w:tc>
          <w:tcPr>
            <w:tcW w:type="dxa" w:w="3213"/>
          </w:tcPr>
          <w:p>
            <w:r>
              <w:rPr>
                <w:rFonts w:ascii="Times New Roman" w:hAnsi="Times New Roman"/>
                <w:sz w:val="28"/>
              </w:rPr>
              <w:t>79</w:t>
            </w:r>
          </w:p>
        </w:tc>
      </w:tr>
      <w:tr>
        <w:tc>
          <w:tcPr>
            <w:tcW w:type="dxa" w:w="3213"/>
          </w:tcPr>
          <w:p>
            <w:r>
              <w:rPr>
                <w:rFonts w:ascii="Times New Roman" w:hAnsi="Times New Roman"/>
                <w:sz w:val="28"/>
              </w:rPr>
              <w:t>АҚШ</w:t>
            </w:r>
          </w:p>
        </w:tc>
        <w:tc>
          <w:tcPr>
            <w:tcW w:type="dxa" w:w="3213"/>
          </w:tcPr>
          <w:p>
            <w:r>
              <w:rPr>
                <w:rFonts w:ascii="Times New Roman" w:hAnsi="Times New Roman"/>
                <w:sz w:val="28"/>
              </w:rPr>
              <w:t>62</w:t>
            </w:r>
          </w:p>
        </w:tc>
        <w:tc>
          <w:tcPr>
            <w:tcW w:type="dxa" w:w="3213"/>
          </w:tcPr>
          <w:p>
            <w:r>
              <w:rPr>
                <w:rFonts w:ascii="Times New Roman" w:hAnsi="Times New Roman"/>
                <w:sz w:val="28"/>
              </w:rPr>
              <w:t>42–53</w:t>
            </w:r>
          </w:p>
        </w:tc>
      </w:tr>
      <w:tr>
        <w:tc>
          <w:tcPr>
            <w:tcW w:type="dxa" w:w="3213"/>
          </w:tcPr>
          <w:p>
            <w:r>
              <w:rPr>
                <w:rFonts w:ascii="Times New Roman" w:hAnsi="Times New Roman"/>
                <w:sz w:val="28"/>
              </w:rPr>
              <w:t>Германия</w:t>
            </w:r>
          </w:p>
        </w:tc>
        <w:tc>
          <w:tcPr>
            <w:tcW w:type="dxa" w:w="3213"/>
          </w:tcPr>
          <w:p>
            <w:r>
              <w:rPr>
                <w:rFonts w:ascii="Times New Roman" w:hAnsi="Times New Roman"/>
                <w:sz w:val="28"/>
              </w:rPr>
              <w:t>57</w:t>
            </w:r>
          </w:p>
        </w:tc>
        <w:tc>
          <w:tcPr>
            <w:tcW w:type="dxa" w:w="3213"/>
          </w:tcPr>
          <w:p>
            <w:r>
              <w:rPr>
                <w:rFonts w:ascii="Times New Roman" w:hAnsi="Times New Roman"/>
                <w:sz w:val="28"/>
              </w:rPr>
              <w:t>69</w:t>
            </w:r>
          </w:p>
        </w:tc>
      </w:tr>
      <w:tr>
        <w:tc>
          <w:tcPr>
            <w:tcW w:type="dxa" w:w="3213"/>
          </w:tcPr>
          <w:p>
            <w:r>
              <w:rPr>
                <w:rFonts w:ascii="Times New Roman" w:hAnsi="Times New Roman"/>
                <w:sz w:val="28"/>
              </w:rPr>
              <w:t>Ұлыбритания</w:t>
            </w:r>
          </w:p>
        </w:tc>
        <w:tc>
          <w:tcPr>
            <w:tcW w:type="dxa" w:w="3213"/>
          </w:tcPr>
          <w:p>
            <w:r>
              <w:rPr>
                <w:rFonts w:ascii="Times New Roman" w:hAnsi="Times New Roman"/>
                <w:sz w:val="28"/>
              </w:rPr>
              <w:t>50</w:t>
            </w:r>
          </w:p>
        </w:tc>
        <w:tc>
          <w:tcPr>
            <w:tcW w:type="dxa" w:w="3213"/>
          </w:tcPr>
          <w:p>
            <w:r>
              <w:rPr>
                <w:rFonts w:ascii="Times New Roman" w:hAnsi="Times New Roman"/>
                <w:sz w:val="28"/>
              </w:rPr>
              <w:t>55</w:t>
            </w:r>
          </w:p>
        </w:tc>
      </w:tr>
      <w:tr>
        <w:tc>
          <w:tcPr>
            <w:tcW w:type="dxa" w:w="3213"/>
          </w:tcPr>
          <w:p>
            <w:r>
              <w:rPr>
                <w:rFonts w:ascii="Times New Roman" w:hAnsi="Times New Roman"/>
                <w:sz w:val="28"/>
              </w:rPr>
              <w:t>Канада</w:t>
            </w:r>
          </w:p>
        </w:tc>
        <w:tc>
          <w:tcPr>
            <w:tcW w:type="dxa" w:w="3213"/>
          </w:tcPr>
          <w:p>
            <w:r>
              <w:rPr>
                <w:rFonts w:ascii="Times New Roman" w:hAnsi="Times New Roman"/>
                <w:sz w:val="28"/>
              </w:rPr>
              <w:t>42–43</w:t>
            </w:r>
          </w:p>
        </w:tc>
        <w:tc>
          <w:tcPr>
            <w:tcW w:type="dxa" w:w="3213"/>
          </w:tcPr>
          <w:p>
            <w:r>
              <w:rPr>
                <w:rFonts w:ascii="Times New Roman" w:hAnsi="Times New Roman"/>
                <w:sz w:val="28"/>
              </w:rPr>
              <w:t>47</w:t>
            </w:r>
          </w:p>
        </w:tc>
      </w:tr>
    </w:tbl>
    <w:p/>
    <w:p>
      <w:r>
        <w:t>Кестедегі деректер дамыған елдерде ШОБ-тың ұлттық экономиканың жартысынан астамын құрап, жұмыспен қамтудың негізгі көзіне айналғанын көрсетумен қатар, елдің экономикалық даму деңгейі мен ШОБ-ты қолдау саясатының тиімділігін де айғақтайды.</w:t>
      </w:r>
    </w:p>
    <w:p>
      <w:r>
        <w:t>Осылайша, шағын және орта бизнестің рөлі тауар өндірумен немесе қызмет көрсетумен ғана шектелмейді. Ол экономикалық өсуді ынталандырушы, әлеуметтік тұрақтылықты қамтамасыз етуші және инновациялық дамуды жеделдетуші кешенді институт ретінде қарастырылады. Сондықтан әлемнің көптеген елдерінде шағын және орта кәсіпкерлікті қолдау мемлекеттік саясаттың басым бағыттарының біріне жатады.</w:t>
      </w:r>
    </w:p>
    <w:p>
      <w:pPr>
        <w:pStyle w:val="Heading2"/>
      </w:pPr>
      <w:bookmarkStart w:id="104" w:name="_Toc_heading_4"/>
      <w:r>
        <w:t>1.2. Шағын және орта бизнесті мемлекеттік қолдаудың қажеттілігі және негізгі формалары</w:t>
      </w:r>
      <w:bookmarkEnd w:id="104"/>
    </w:p>
    <w:p>
      <w:r>
        <w:t>Шағын және орта бизнес (ШОБ) секторы — кез келген ұлттық экономиканың маңызды құрамдас бөлігі. Ол жұмыс орындарын құру, бәсекелестік ортаны қалыптастыру және экономикалық өсуді ынталандыру сияқты бірқатар негізгі функцияларды атқарады. Дамыған елдерде ШОБ жұмыс орындарының 50%-дан астамын қамтамасыз ететінін статистика растайды: АҚШ-та бұл көрсеткіш — 53%, Германияда — 78%, ал Оңтүстік Кореяда — 87,7% [1, 3-б.]. Алайда, ШОБ субъектілері көлемі мен ресурстарының шектеулілігіне байланысты ірі компаниялармен тең дәрежеде бәсекеге түсе алмай, бірқатар «нарықтық сәтсіздіктерге» ұшырайды. Дәл осы факторлар кәсіпкерлікті мемлекеттік реттеу мен қолдаудың қажеттілігін негіздейді.</w:t>
      </w:r>
    </w:p>
    <w:p>
      <w:r>
        <w:t>Мемлекеттік қолдаудың теориялық негіздемесі — нарықтың өзін-өзі реттеу тетіктері тиімсіз болған жағдайларды түзету. Ғылыми әдебиетте ШОБ-ты мемлекеттік қолдау екі негізгі жағдаймен түсіндіріледі: біріншіден, нарықтық сәтсіздіктердің болуы, себебі бұл сектордағы фирмалар белгісіздік жағдайында жұмыс істейді; екіншіден, осы секторға кіретін фирмалардың тұрақты қызмет етуге жағдайының жеткіліксіздігі [2, 26-б.]. Бұған қоса, шағын бизнестің несиелік ресурстарға қол жеткізуі жиі қиындық тудырады. Оның негізгі себептері — қаржыландырудың жеткіліксіздігі, ірі қалалардан тыс жерлерде өтімді кепілзаттың болмауы және екінші деңгейлі банктердің несиелеу кезіндегі кедергілері [3, 301-б.]. Осылайша, мемлекеттік қолдау — кәсіпкерлік қызмет үшін қолайлы орта қалыптастыру және экономиканың осы маңызды секторының дамуын қамтамасыз ету құралы.</w:t>
      </w:r>
    </w:p>
    <w:p>
      <w:r>
        <w:t>Дамыған елдердің тәжірибесінде ШОБ-ты мемлекеттік қолдау шараларының кешенді жүйесі қалыптасқан. Оларды бірнеше негізгі формаға жіктеуге болады: қаржылық, қаржылық емес (ақпараттық, консультациялық, білім беру) және инфрақұрылымдық.</w:t>
      </w:r>
    </w:p>
    <w:p>
      <w:r>
        <w:t>Қаржылық қолдау — ШОБ субъектілерінің капиталға қолжетімділігін арттыруға бағытталған ең кең таралған құралдардың бірі. Оны тікелей және жанама қаржыландыру деп бөлуге болады.</w:t>
      </w:r>
    </w:p>
    <w:p>
      <w:r>
        <w:t>Тікелей қаржыландыруға гранттар, субсидиялар және пайызсыз несиелер жатады. Мысалы, Германияның Бавария аймағында компанияны іске қосу кезеңінде консалтингтік қызметтерге жұмсалатын шығындардың 70%-ын жабатын арнайы гранттар беріледі [4, 15-б.]. Ресей Федерациясында аз қамтылған отбасыларға кәсіпорын ашу үшін қайтарымсыз қаражат ұсынатын «Әлеуметтік келісімшарт» жобасы жұмыс істейді [4, 16-б.]. Қазақстанда «Бизнестің жол картасы-2025» сияқты бағдарламалар аясында несиелер бойынша пайыздық мөлшерлемені субсидиялау және мемлекеттік гранттар беру тетіктері қарастырылған [5, 29-б.].</w:t>
      </w:r>
    </w:p>
    <w:p>
      <w:r>
        <w:t>Жанама қаржылық қолдау шараларына жеңілдетілген несиелеу, несиелерге кепілдік беру және салықтық жеңілдіктер кіреді. Германияда KFW Group қаржы тобы шағын бизнеске 5-8% мөлшерлемемен жеңілдікпен несие береді және коммерциялық банктерге несиенің 80%-на дейін кепілдік бере алады [6, 35-б.]. Жапонияда да кәсіпкерлік субъектілерінің несиелеріне кепілдік беретін және оларды сақтандыратын арнайы мемлекеттік құрылымдар құрылған [4, 16-б.]. Мәселен, Ұлыбритания ғылыми-зерттеу және әзірлеумен айналысатын ШОБ субъектілеріне салық несиелерін ұсынса [1, 2-б.], Германияда 2020 жылы шағын және орта кәсіпорындар үшін табыс салығы 39%-дан 30%-ға дейін төмендетілген [6, 35-б.].</w:t>
      </w:r>
    </w:p>
    <w:p>
      <w:r>
        <w:t>Қаржылық қолдаумен қатар, ШОБ-тың бәсекеге қабілеттілігін арттыруда қаржылық емес және инфрақұрылымдық құралдардың да маңызы зор, ал әлемдік трендтерге сәйкес мұндай қолдау ақпараттық қамтамасыз етуді, оқытуды, коммуникацияны және консультацияларды қамтиды [7, 8-б.].</w:t>
      </w:r>
    </w:p>
    <w:p>
      <w:r>
        <w:t>Ақпараттық-консультациялық қолдау кәсіпкерлерді қажетті ақпаратпен қамтамасыз етіп, заңгерлік және басқарушылық кеңестер беруді көздейді. Бұдан бөлек, Ресейде кәсіпкерлерге арналған «Навигатор МСП» атты мемлекеттік цифрлық платформа іске қосылған, онда қаржылық, мүліктік, ақпараттық қолдау шаралары, оқыту бағдарламалары мен мемлекеттік сатып алу жоспарлары туралы мәліметтер жинақталған [7, 9-б.].</w:t>
      </w:r>
    </w:p>
    <w:p>
      <w:r>
        <w:t>Білім беру және кадр даярлау бағыты кәсіпкерлер мен олардың қызметкерлерінің құзыреттілігін арттыруға бағытталған, мысалы, Францияда осы салада жаңадан ашылатын компаниялардың басшыларын оқытуға арнайы қомақты қаржы бөлінген [4, 15-б.].</w:t>
      </w:r>
    </w:p>
    <w:p>
      <w:r>
        <w:t>Инфрақұрылымдық қолдау — бизнес-инкубаторлар, технопарктер мен индустриялық аймақтар құру арқылы кәсіпкерлік қызметке қажетті физикалық ортаны жасақтау. Бизнес-инкубаторлар құру идеясы алғаш ХХ ғасырдың 50-жылдарында Ұлыбританияда пайда болып, қазірде кеңінен таралса [6, 35-б.], Германияда жоғары оқу орындарында 200-ге жуық бизнес-инкубаторлар желісі дамыған [6, 35-б.]. Осындай орталықтар жаңадан бастаған кәсіпкерлерге жеңілдікпен кеңсе жалдауға, жабдықтарды пайдалануға және сараптамалық көмек алуға мүмкіндік береді.</w:t>
      </w:r>
    </w:p>
    <w:p>
      <w:r>
        <w:t>Жалпы, дамыған елдердің тәжірибесі көрсеткендей, билік пен бизнестің өзара іс-қимылының тиімді институционалдық негізінің арқасында ШОБ-тың ЖІӨ-дегі үлесі 60%-дан, ал жұмыспен қамтудағы үлесі 80%-дан жоғары мәндерге жеткен [6, 37-б.]. Бұл мемлекеттік қолдаудың қаржылық және қаржылық емес құралдарын кешенді түрде қолданудың маңызын көрсетеді. Әртүрлі қолдау шараларының үйлесімділігі мен олардың кәсіпкерлердің нақты қажеттіліктеріне бағытталуы мемлекеттік саясаттың тиімділігін арттырады.</w:t>
      </w:r>
    </w:p>
    <w:p>
      <w:pPr>
        <w:pStyle w:val="Heading2"/>
      </w:pPr>
      <w:bookmarkStart w:id="105" w:name="_Toc_heading_5"/>
      <w:r>
        <w:t>1.3. Шағын және орта бизнесті мемлекеттік қолдаудың халықаралық тәжірибесі</w:t>
      </w:r>
      <w:bookmarkEnd w:id="105"/>
    </w:p>
    <w:p>
      <w:r>
        <w:t>Шағын және орта бизнес (ШОБ) — дамыған елдер экономикасының негізгі қозғаушы күштерінің бірі. Бұл — маңызды көрсеткіш. Германия, АҚШ, Оңтүстік Корея сияқты мемлекеттерде ШОБ-тың ЖІӨ-дегі үлесі 50%-дан асып, жұмыс орындарының басым бөлігін қамтамасыз етеді [Сыздықова 2024, 3-б.]. Осындай жетістікке қол жеткізуде мемлекеттік қолдау шараларының тиімді жүйесі маңызды рөл атқарады, әрі әлемдік тәжірибеде ШОБ-ты қолдаудың қаржылық, қаржылық емес және институционалдық сияқты бірнеше негізгі бағыты қалыптасқан.</w:t>
      </w:r>
    </w:p>
    <w:p>
      <w:r>
        <w:t>Қаржылық қолдау шаралары — кәсіпкерлікті ынталандырудың ең кең таралған әрі тікелей әсер ететін құралы. Оның ішінде несиелік кепілдік беру схемалары көптеген елде қолданылады. Мәселен, Америка Құрама Штаттарында Шағын бизнес әкімшілігі (Small Business Administration – SBA) «7a» бағдарламасы аясында коммерциялық банктер беретін несие сомасының 90%-ына дейін кепілдік береді [Иванов 2014, 4-б.]. Германияда мемлекеттік KfW Group қаржы тобы коммерциялық банктерге несиенің 80%-ына дейін кепілдік бере отырып, 3 миллионнан астам шағын бизнеске жеңілдікпен несие ұсынады [БОДАУБЕК МЕДЕТ НҰРҒАЗЫҰЛЫ 2024, 35-б.]. COVID-19 пандемиясы кезінде бұл құралдың маңызы одан әрі артып, Дания (70%), Словения (80%) және Австрия (80–100%) сияқты ЭЫДҰ елдерінде кепілдік мөлшері ең жоғары деңгейге жеткізілді [Исенова 2022, 33-б.].</w:t>
      </w:r>
    </w:p>
    <w:p>
      <w:r>
        <w:t>Бұған қоса, тікелей жеңілдетілген несиелендіру және пайыздық мөлшерлемені субсидиялау да жиі қолданылады. Жапонияда шағын кәсіпорындарға қаржылық қызмет көрсететін үш арнайы мемлекеттік орган жұмыс істейді: Орталық кооперативтік сауда және өнеркәсіп банкі, Мемлекеттік шағын кәсіпкерлікті қаржыландыру корпорациясы және Халықтық қаржы корпорациясы [Абилов 2022, 16-б.]. Ұлыбританияда пандемияға байланысты бизнесін тоқтатуға мәжбүр болған ШОБ үшін 6 жылға дейін 5 млн фунт стерлингке дейін несие, овердрафт және басқа да қаржыландыру түрлерін ұсынатын арнайы бағдарламалар іске қосылды [Исенова 2022, 37-б.]. Инновациялық және стартап-жобаларды қолдауда венчурлық капиталды тарту тетіктерінің маңызы зор. АҚШ-та SBA арқылы лицензияланатын SBIC (Small Business Investment Companies) компаниялары шағын дамушы кәсіпорындарға венчурлық капитал ұсынады [БОДАУБЕК МЕДЕТ НҰРҒАЗЫҰЛЫ 2024, 33-б.]. Ал Оңтүстік Корея 1996 жылы ШОБ пен венчурлық компанияларға арналған KOSDAQ қор нарығын ашып, олардың тікелей қаржыландыру тартуына жол ашты [Yang 2009, 21-б.].</w:t>
      </w:r>
    </w:p>
    <w:p>
      <w:r>
        <w:t>Соңғы жылдары қаржылық емес қолдау құралдарының рөлі артуда. Олардың кешені үнемі кеңейіп келеді. Бұл бағытқа ақпараттық-консультациялық қызметтер, оқыту, цифрландыруға көмек және экспортты қолдау жатады. Сингапурдың тәжірибесі осыған жақсы мысал: мұнда кәсіпкерлерге Startup Founder, Startup Talent, Digital Marketing сияқты кешенді бағдарламалар аясында іздеу жүйелерін оңтайландыру, WhatsApp Business-ті реттеу, электронды төлемдерді (E-payment) қосу сияқты цифрлық маркетинг қызметтері көрсетіледі [Бокишев 2022, 8-б.]. Сондай-ақ көптеген елде ШОБ-тың цифрлық сауаттылығы мен құзыретін арттыруға бағытталған арнайы бастамалар бар. Мысалы, Ұлыбританиядағы CyberSafe Foundation бағдарламасы ШОБ-ты киберқауіптерден қорғануға үйретсе, Жаңа Зеландиядағы Digital Boost бағдарламасы кәсіпкерлерге цифрлық құралдардың артықшылықтарын пайдалануға көмектеседі [Исенова 2022, 37-б.].</w:t>
      </w:r>
    </w:p>
    <w:p>
      <w:r>
        <w:t>Институционалдық қолдау да маңызды. Ол салықтық жеңілдіктер мен әкімшілік кедергілерді азайтуды қамтиды. Францияда жаңадан құрылған шағын кәсіпорындар екі жылға жергілікті салықтардан босатылады, ал бизнесті жұмыссыз адам ашса, бұл жеңілдік үш жылға созылады [Сыздықова 2024, 4-б.]. Германияда дағдарыс жылдарында пайда салығы 39%-дан 30%-ға дейін, ал әлеуметтік сақтандыру аударымдары 6,5%-дан 3,3%-ға дейін төмендетілген [Иванов 2014, 7-б.]. Мемлекеттік сатып алуларға қолжетімділікті жеңілдету — ШОБ-ты қолдаудың тағы бір маңызды тетігі, осы мақсатта АҚШ-та федералды үкімет жыл сайын мемлекеттік келісімшарттарға бөлінетін бюджеттің шамамен 23%-ын шағын бизнеске бағыттауға тырысады [БОДАУБЕК МЕДЕТ НҰРҒАЗЫҰЛЫ 2024, 33-б.].</w:t>
      </w:r>
    </w:p>
    <w:p>
      <w:r>
        <w:t>Дамыған елдердің тәжірибесі ШОБ-ты қолдаудың бірыңғай үлгісі жоқ екенін көрсетеді. Дегенмен бірнеше ортақ үрдіс байқалады. Оларға қаржылық құралдардың әртараптандырылуы (кепілдіктер, тікелей несиелер, венчурлық капитал), қаржылық емес қолдаудың (оқыту, цифрландыру, экспорттық көмек) рөлінің артуы және қолайлы реттеуші орта қалыптастыру жатады. Бұл шаралар кешенді түрде жүзеге асырылғанда ғана ШОБ-тың экономикалық өсуге қосатын үлесі артады.</w:t>
      </w:r>
    </w:p>
    <w:p>
      <w:r>
        <w:br w:type="page"/>
      </w:r>
    </w:p>
    <w:p>
      <w:pPr>
        <w:pStyle w:val="Heading1"/>
      </w:pPr>
      <w:bookmarkStart w:id="106" w:name="_Toc_heading_6"/>
      <w:r>
        <w:t>2 ҚАЗАҚСТАНДАҒЫ ШАҒЫН ЖӘНЕ ОРТА БИЗНЕСТІ МЕМЛЕКЕТТІК ҚОЛДАУДЫҢ ҚАЗІРГІ ЖАҒДАЙЫН ТАЛДАУ</w:t>
      </w:r>
      <w:bookmarkEnd w:id="106"/>
    </w:p>
    <w:p>
      <w:pPr>
        <w:pStyle w:val="Heading2"/>
      </w:pPr>
      <w:bookmarkStart w:id="107" w:name="_Toc_heading_7"/>
      <w:r>
        <w:t>2.1. Қазақстандағы шағын және орта бизнестің дамуының негізгі көрсеткіштері</w:t>
      </w:r>
      <w:bookmarkEnd w:id="107"/>
    </w:p>
    <w:p>
      <w:r>
        <w:t>Шағын және орта бизнес (ШОБ) — Қазақстан экономикасының маңызды драйвері, ол орта тапты қалыптастыруға, әлеуметтік тұрақтылықты қамтамасыз етуге және экономиканың тұрақты дамуына ықпал етеді [1, 1-б.; 4, 104-б.]. 2024 жылғы 1 қаңтардағы жағдай бойынша Қазақстанда тіркелген ШОБ субъектілерінің саны 2,18 млн бірлікке жетіп, оның ішінде 2 млн-ға жуығы жұмыс істеп тұрған кәсіпорынды құрады, бұл көрсеткіш алдыңғы жылмен салыстырғанда 10,1%-ға артық [13, 135-б.]. Ұлттық статистика бюросының мәліметінше, олардың құрылымында дара кәсіпкерлер (66,2%), шағын кәсіпкерліктегі заңды тұлғалар (21%), шаруа немесе фермер қожалықтары (12,7%) және орта кәсіпкерліктегі заңды тұлғалар (0,1%) басым [13, 135-б.]. Бұл секторда 4,4 млн адам жұмыспен қамтылған [1, 1-б.]. Бұл — елдегі экономикалық белсенді халықтың жартысына жуығы.</w:t>
      </w:r>
    </w:p>
    <w:p>
      <w:r>
        <w:t>ШОБ секторында тұрақты өсім байқалады. 2019 жылы сектордың жалпы ішкі өнімдегі (ЖІӨ) үлесі 30,8% болса, 2024 жылға қарай бұл көрсеткіш 39,7%-ға дейін өсті [1, 3-б.]. Аталған өсімге 2020-2024 жылдар аралығында ШОБ субъектілеріне салынған мораторий, салықтық жеңілдіктер, несиелік ресурстардың қолжетімділігі және цифрлық сервистердің дамуы сияқты мемлекеттік қолдау шаралары ықпал етті [1, 3-б.]. Дегенмен, бұл көрсеткіш дамыған елдердің деңгейінен (шамамен 54%) және дамушы елдердің орташа көрсеткішінен (шамамен 49%) төмен болып қалуда [1, 4-б.]. Салыстыру үшін, Германияда ШОБ-тың ЖІӨ-дегі үлесі 75%-ға дейін жетсе, Оңтүстік Кореяда жұмыс орындарының 87,7%-ын осы сектор қамтамасыз етеді [10, 3-б.].</w:t>
      </w:r>
    </w:p>
    <w:p>
      <w:r>
        <w:t>Қазақстандағы ШОБ статистикасын қалыптастыру әдіснамасының өз ерекшеліктері бар. Ресми статистика 2014 жылдан бастап субъектілерді ШОБ санатына жатқызу үшін тек бір критерийді — қызметкерлердің орташа жылдық санын ғана ескереді, ал кәсіпорынның жылдық табысы немесе айналымы есепке алынбайды [1, 3-б.]. Бұл жағдай қызметкерлер саны аз, бірақ айналымы өте ірі компаниялардың «шағын кәсіпорын» ретінде тіркелуіне мүмкіндік береді. Салдары елеулі. ШОБ-ты дамыту тұжырымдамасына сәйкес жүргізілген балама есептеулер бойынша, егер статистикадан ірі айналымы бар компанияларды алып тастаса, 2022 жылы ШОБ-тың ЖІӨ-дегі үлесі ресми 32,8%-дан 12,7%-ға дейін төмендейтіні анықталды [1, 3-б.]. Бұл алшақтық мемлекеттік сатып алуларға қатысу үшін құрылатын компаниялардың көптігімен түсіндірілуі мүмкін және сектордың нақты жағдайын талдауды қиындатады.</w:t>
      </w:r>
    </w:p>
    <w:p>
      <w:r>
        <w:t>ШОБ дамуының аймақтық құрылымында айтарлықтай теңгерімсіздіктер байқалады. Кәсіпкерлік белсенділіктің басым бөлігі ірі қалаларда шоғырланған. Мәселен, Алматы, Астана және Шымкент қалаларында ШОБ-тың өңірлік экономикадағы үлесі 60%-дан асады [1, 1-б.]. Бұл дамыған инфрақұрылыммен, бизнес-ортаның жоғары шоғырлануымен және қызмет көрсету нарығының белсенділігімен түсіндіріледі. Керісінше, басқа өңірлерде бұл көрсеткіш әлдеқайда төмен [3, 157-б.]. Бұл теңгерімсіздік несиелендіруде де көрініс табады: 2024 жылғы 1 қаңтардағы деректер бойынша, банктердің ШОБ субъектілеріне берген несиелерінің республикалық жалпы көлемінің 49,33%-ы бір ғана Алматы қаласына тиесілі болса, жұмыс істеп тұрған субъектілер саны бойынша үшінші орындағы Түркістан облысына несиелердің тек 0,72%-ы ғана берілген [10, 5-б.].</w:t>
      </w:r>
    </w:p>
    <w:p>
      <w:r>
        <w:t>ШОБ-тың салалық құрылымында сауда секторы үстем. Бұл үрдіс соңғы жылдары сақталуда. 2024 жылдың соңындағы деректерге сәйкес, ШОБ шығарған өнімнің 35%-ы сауда саласына тиесілі (1-суретті қараңыз). Бұл саланың үстемдігі тіркелген субъектілер санында да көрінеді: Ұлттық статистика бюросының деректері бойынша, ШОБ субъектілерінің 35,9%-ы «Көтерме және бөлшек сауда; автомобильдер мен мотоциклдерді жөндеу» саласында шоғырланған [13, 135-б.]. Салаға кіру шегінің төмендігі, айналымның жылдамдығы және электрондық коммерцияның дамуы оны кәсіпкерлер үшін тартымды етеді [1, 1-б.]. Электрондық коммерция нарығының көлемі 2019-2024 жылдар аралығында 15 есе өсіп, оның бөлшек саудадағы үлесі 1,8%-дан 14,1%-ға дейін артты [1, 4-б.]. Маркетплейстер арқылы сауда жасайтын кәсіпорындардың 96%-ын ШОБ субъектілері құрайды [1, 4-б.].</w:t>
      </w:r>
    </w:p>
    <w:p>
      <w:pPr>
        <w:ind w:firstLine="0"/>
        <w:jc w:val="center"/>
      </w:pPr>
      <w:r>
        <w:drawing>
          <wp:inline xmlns:a="http://schemas.openxmlformats.org/drawingml/2006/main" xmlns:pic="http://schemas.openxmlformats.org/drawingml/2006/picture">
            <wp:extent cx="5040000" cy="294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40000" cy="2940000"/>
                    </a:xfrm>
                    <a:prstGeom prst="rect"/>
                  </pic:spPr>
                </pic:pic>
              </a:graphicData>
            </a:graphic>
          </wp:inline>
        </w:drawing>
      </w:r>
    </w:p>
    <w:p>
      <w:pPr>
        <w:ind w:firstLine="0"/>
        <w:jc w:val="center"/>
      </w:pPr>
      <w:r>
        <w:rPr>
          <w:i/>
          <w:sz w:val="20"/>
        </w:rPr>
        <w:t>Сурет 1. 1-сурет. 2024 жылдың соңындағы ШОБ өнім шығарылымының салалық құрылымы, %</w:t>
      </w:r>
    </w:p>
    <w:p>
      <w:pPr>
        <w:spacing w:after="320"/>
        <w:ind w:firstLine="0"/>
        <w:jc w:val="center"/>
      </w:pPr>
      <w:r>
        <w:rPr>
          <w:i/>
          <w:sz w:val="18"/>
        </w:rPr>
        <w:t>Дереккөз: («Малый и средний бизнес Казахстана: перспективы и вызовы 2025», 2025, 4-б.)</w:t>
      </w:r>
    </w:p>
    <w:p>
      <w:r>
        <w:t>1-суретте көрсетілгендей, саудадан кейінгі маңызды орындарды өңдеу өнеркәсібі (11%), құрылыс (10%) және тау-кен өнеркәсібі (9%) алады [1, 4-б.]. Өнеркәсіп пен құрылыс саласындағы кәсіпорындар негізінен мемлекеттік қолдау бағдарламаларының арқасында дамып отыр [1, 1-б.]. Соңғы жылдары құрылымдық өзгерістер байқалады: ресми статистикаға сәйкес, 2021 жылдан 2023 жылға дейінгі аралықта өнеркәсіптің ШОБ өніміндегі үлесі 21,9%-дан екі есеге жуық өссе, сауданың үлесі, керісінше, 11,1%-ға төмендеген [7, 6-7-б.]. Бұл оң үрдіс экономиканы әртараптандыру үшін маңызды.</w:t>
      </w:r>
    </w:p>
    <w:p>
      <w:r>
        <w:t>ШОБ құрылымында тағы бір маңызды мәселе бар. Ол — шағын және орта бизнес арасындағы даму алшақтығы. Соңғы жылдары негізгі өсім шағын кәсіпорындар есебінен қамтамасыз етілген. 2019 жылдан бері шағын кәсіпорындардың ЖІӨ-дегі үлесі 7,7 пайыздық тармаққа өссе, орта кәсіпорындардың үлесі небәрі 0,7 пайыздық тармаққа артқан. 2024 жылдың қорытындысы бойынша орта бизнестің үлесі 7,0%-ды құрады, ал 2025 жылға қойылған мақсатты индикатор — 15% [1, 4-б.]. Орта бизнес — инновацияларды енгізуге, өндірісті ұлғайтуға және жоғары өнімді жұмыс орындарын құруға көбірек әлеуеті бар сегмент [1, 1-б.; 5, 2-б.]. Алайда, орта бизнестің өсімі қаржыландырудың қиындығы, әкімшілік жүктемелер және ауқымды кеңейтуге ынталандырудың жеткіліксіздігі сияқты кедергілерге байланысты шектеліп отыр [1, 2-б.]. Мысалы, 2011–2016 жылдар аралығында орта бизнес кәсіпорындарының саны 3 есеге, ал оларда жұмыспен қамтылғандар саны 2 есеге қысқарғаны тіркелген [5, 2-б.].</w:t>
      </w:r>
    </w:p>
    <w:p>
      <w:r>
        <w:t>Сонымен, Қазақстандағы шағын және орта бизнес секторы соңғы жылдары сандық тұрғыдан айтарлықтай өсім көрсеткенімен, оның дамуында құрылымдық және аймақтық теңгерімсіздіктер сақталуда. Сауда секторының шамадан тыс үстемдігі, өңірлер арасындағы даму алшақтығы және орта бизнестің баяу өсуі («missing middle» мәселесі) сектордың сапалы даму әлеуетін толық жүзеге асыруға кедергі келтіретін негізгі сын-тегеуріндер болып табылады.</w:t>
      </w:r>
    </w:p>
    <w:p>
      <w:pPr>
        <w:pStyle w:val="Heading2"/>
      </w:pPr>
      <w:bookmarkStart w:id="108" w:name="_Toc_heading_8"/>
      <w:r>
        <w:t>2.2. Қазақстандағы ШОБ-ты мемлекеттік қолдаудың негізгі бағдарламалары мен құралдары</w:t>
      </w:r>
      <w:bookmarkEnd w:id="108"/>
    </w:p>
    <w:p>
      <w:r>
        <w:t>Шағын және орта кәсіпкерлікті (ШОК) дамыту — Қазақстанның экономикалық саясатының басты басымдығы. Осы мақсатта мемлекет бірқатар кешенді бағдарлама мен қолдау құралын іске асыруда. Бұл шаралар кәсіпкерлердің қаржылық ресурстарға қолжетімділігін арттыруға, құзыреттіліктерін дамытуға әрі жалпы іскерлік ахуалды жақсартуға бағытталған. Қолдау шаралары «Бәйтерек» холдингінің еншілес ұйымы «Даму» кәсіпкерлікті дамыту қоры» АҚ (бұдан әрі — «Даму» қоры) және «Атамекен» Қазақстан Республикасының Ұлттық кәсіпкерлер палатасы (бұдан әрі — «Атамекен» ҰКП) арқылы жүзеге асырылады [11, 45-б.].</w:t>
      </w:r>
    </w:p>
    <w:p>
      <w:r>
        <w:t>Қазіргі таңда ШОК-ты қолдаудың негізгі тетіктері «2021-2025 жылдарға арналған кәсіпкерлікті дамыту жөніндегі ұлттық жоба» аясында топтастырылған. Бұл құжат «Бизнестің жол картасы-2025» және «Нәтижелі жұмыспен қамтуды және жаппай кәсіпкерлікті дамытудың 2017-2021 жылдарға арналған «Еңбек» мемлекеттік бағдарламасы» сияқты бұрынғы бастамаларды жалғастыратын әрі біріктіретін құжат [2, 20-б.; 3, 12-б.].</w:t>
      </w:r>
    </w:p>
    <w:p>
      <w:r>
        <w:t>«Бизнестің жол картасы-2025» мемлекеттік бағдарламасы</w:t>
      </w:r>
    </w:p>
    <w:p>
      <w:r>
        <w:t>«Бизнестің жол картасы-2025» (БЖК-2025) — ШОК-ты мемлекеттік қолдау саласындағы ең ауқымды әрі танымал бағдарламалардың бірі. Оның негізгі мақсаты — өңірлік кәсіпкерліктің тұрақты және теңгерімді өсуін қамтамасыз ету, сондай-ақ қолданыстағы жұмыс орындарын сақтап, жаңа тұрақты жұмыс орындарын құру [1, 2-б.]. Бағдарламаның 2025 жылға дейінгі негізгі нысаналы индикаторларына ЖІӨ-дегі ШОК үлесін кемінде 33,8%-ға, ал өңдеу өнеркәсібінің үлесін кемінде 13,4%-ға жеткізу және бағдарламаға қатысушылардың 30 мың жаңа жұмыс орнын құруы сияқты міндеттер кіреді [1, 3-б.].</w:t>
      </w:r>
    </w:p>
    <w:p>
      <w:r>
        <w:t>Бағдарлама төрт негізгі бағыт бойынша жүзеге асырылды: моноқалалар, шағын қалалар мен ауылдық елді мекендердегі кәсіпкерлердің бизнес-бастамаларын қолдау; экономиканың басым секторларында қызмет ететін кәсіпкерлерді салалық қолдау; кәсіпкерлердің валюталық тәуекелдерін төмендету; кәсіпкерлікті қаржылай емес қолдау шаралары [2, 20-21-б.; 1, 4-б.].</w:t>
      </w:r>
    </w:p>
    <w:p>
      <w:r>
        <w:t>Бағдарлама аясында кәсіпкерлерге қаржылық және қаржылық емес қолдау құралдары ұсынылады. Қаржылық құралдарға пайыздық мөлшерлемені субсидиялау, несиелерге кепілдік беру, өндірістік инфрақұрылымды тарту және мемлекеттік гранттар беру жатса, қаржылық емес құралдар сервистік қызмет көрсетуді, кәсіпкерлік негіздеріне оқытуды және құзыреттіліктерін арттыруды қамтиды [11, 47-б.; 3, 12-13-б.].</w:t>
      </w:r>
    </w:p>
    <w:p>
      <w:r>
        <w:t>«Даму» қорының деректеріне сәйкес, тек 2021 жылдың өзінде БЖК-2025 аясында жалпы сомасы 1,3 трлн теңгені құрайтын 32 мыңға жуық жобаға қолдау көрсетілді. Төленген субсидиялар көлемі 96,1 млрд теңгеге жетті [11, 49-б.]. Бұл көрсеткіштер бағдарламаның кәсіпкерлер арасында жоғары сұранысқа ие екенін көрсетеді.</w:t>
      </w:r>
    </w:p>
    <w:p>
      <w:r>
        <w:t>Негізгі мемлекеттік бағдарламалардың шарттары мен құралдары</w:t>
      </w:r>
    </w:p>
    <w:p>
      <w:r>
        <w:t>БЖК-2025-пен қатар, «Еңбек» және «Қарапайым заттар экономикасы» сияқты басқа да маңызды бағдарламалар жұмыс істеді. Олардың шарттары мен мақсатты аудиториясы әртүрлі болғанымен, барлығы кәсіпкерлік белсенділікті ынталандыруға бағытталды, олардың негізгі шарттары төмендегі 1-кестеде салыстырмалы түрде көрсетілді.</w:t>
      </w:r>
    </w:p>
    <w:tbl>
      <w:tblPr>
        <w:tblStyle w:val="TableGrid"/>
        <w:tblW w:type="auto" w:w="0"/>
        <w:tblLayout w:type="autofit"/>
        <w:tblLook w:firstColumn="1" w:firstRow="1" w:lastColumn="0" w:lastRow="0" w:noHBand="0" w:noVBand="1" w:val="04A0"/>
      </w:tblPr>
      <w:tblGrid>
        <w:gridCol w:w="1928"/>
        <w:gridCol w:w="1928"/>
        <w:gridCol w:w="1928"/>
        <w:gridCol w:w="1928"/>
        <w:gridCol w:w="1928"/>
      </w:tblGrid>
      <w:tr>
        <w:tc>
          <w:tcPr>
            <w:tcW w:type="dxa" w:w="1928"/>
          </w:tcPr>
          <w:p>
            <w:r>
              <w:rPr>
                <w:rFonts w:ascii="Times New Roman" w:hAnsi="Times New Roman"/>
                <w:b/>
                <w:sz w:val="28"/>
              </w:rPr>
              <w:t>Бағдарлама атауы</w:t>
            </w:r>
          </w:p>
        </w:tc>
        <w:tc>
          <w:tcPr>
            <w:tcW w:type="dxa" w:w="1928"/>
          </w:tcPr>
          <w:p>
            <w:r>
              <w:rPr>
                <w:rFonts w:ascii="Times New Roman" w:hAnsi="Times New Roman"/>
                <w:b/>
                <w:sz w:val="28"/>
              </w:rPr>
              <w:t>Қатысушылар</w:t>
            </w:r>
          </w:p>
        </w:tc>
        <w:tc>
          <w:tcPr>
            <w:tcW w:type="dxa" w:w="1928"/>
          </w:tcPr>
          <w:p>
            <w:r>
              <w:rPr>
                <w:rFonts w:ascii="Times New Roman" w:hAnsi="Times New Roman"/>
                <w:b/>
                <w:sz w:val="28"/>
              </w:rPr>
              <w:t>Несие сомасы (макс.)</w:t>
            </w:r>
          </w:p>
        </w:tc>
        <w:tc>
          <w:tcPr>
            <w:tcW w:type="dxa" w:w="1928"/>
          </w:tcPr>
          <w:p>
            <w:r>
              <w:rPr>
                <w:rFonts w:ascii="Times New Roman" w:hAnsi="Times New Roman"/>
                <w:b/>
                <w:sz w:val="28"/>
              </w:rPr>
              <w:t>Кәсіпкер үшін мөлшерлеме</w:t>
            </w:r>
          </w:p>
        </w:tc>
        <w:tc>
          <w:tcPr>
            <w:tcW w:type="dxa" w:w="1928"/>
          </w:tcPr>
          <w:p>
            <w:r>
              <w:rPr>
                <w:rFonts w:ascii="Times New Roman" w:hAnsi="Times New Roman"/>
                <w:b/>
                <w:sz w:val="28"/>
              </w:rPr>
              <w:t>Несие мерзімі</w:t>
            </w:r>
          </w:p>
        </w:tc>
      </w:tr>
      <w:tr>
        <w:tc>
          <w:tcPr>
            <w:tcW w:type="dxa" w:w="1928"/>
          </w:tcPr>
          <w:p>
            <w:r>
              <w:rPr>
                <w:rFonts w:ascii="Times New Roman" w:hAnsi="Times New Roman"/>
                <w:sz w:val="28"/>
              </w:rPr>
              <w:t>«Бизнестің жол картасы-2025»</w:t>
            </w:r>
          </w:p>
        </w:tc>
        <w:tc>
          <w:tcPr>
            <w:tcW w:type="dxa" w:w="1928"/>
          </w:tcPr>
          <w:p>
            <w:r>
              <w:rPr>
                <w:rFonts w:ascii="Times New Roman" w:hAnsi="Times New Roman"/>
                <w:sz w:val="28"/>
              </w:rPr>
              <w:t>ШОК, ірі бизнес</w:t>
            </w:r>
          </w:p>
        </w:tc>
        <w:tc>
          <w:tcPr>
            <w:tcW w:type="dxa" w:w="1928"/>
          </w:tcPr>
          <w:p>
            <w:r>
              <w:rPr>
                <w:rFonts w:ascii="Times New Roman" w:hAnsi="Times New Roman"/>
                <w:sz w:val="28"/>
              </w:rPr>
              <w:t>7 млрд теңге</w:t>
            </w:r>
          </w:p>
        </w:tc>
        <w:tc>
          <w:tcPr>
            <w:tcW w:type="dxa" w:w="1928"/>
          </w:tcPr>
          <w:p>
            <w:r>
              <w:rPr>
                <w:rFonts w:ascii="Times New Roman" w:hAnsi="Times New Roman"/>
                <w:sz w:val="28"/>
              </w:rPr>
              <w:t>6%</w:t>
            </w:r>
          </w:p>
        </w:tc>
        <w:tc>
          <w:tcPr>
            <w:tcW w:type="dxa" w:w="1928"/>
          </w:tcPr>
          <w:p>
            <w:r>
              <w:rPr>
                <w:rFonts w:ascii="Times New Roman" w:hAnsi="Times New Roman"/>
                <w:sz w:val="28"/>
              </w:rPr>
              <w:t>Инвестицияға — 5 жылға дейін; айналым қаражатына — 3 жылға дейін</w:t>
            </w:r>
          </w:p>
        </w:tc>
      </w:tr>
      <w:tr>
        <w:tc>
          <w:tcPr>
            <w:tcW w:type="dxa" w:w="1928"/>
          </w:tcPr>
          <w:p>
            <w:r>
              <w:rPr>
                <w:rFonts w:ascii="Times New Roman" w:hAnsi="Times New Roman"/>
                <w:sz w:val="28"/>
              </w:rPr>
              <w:t>«Еңбек» (2017-2021)</w:t>
            </w:r>
          </w:p>
        </w:tc>
        <w:tc>
          <w:tcPr>
            <w:tcW w:type="dxa" w:w="1928"/>
          </w:tcPr>
          <w:p>
            <w:r>
              <w:rPr>
                <w:rFonts w:ascii="Times New Roman" w:hAnsi="Times New Roman"/>
                <w:sz w:val="28"/>
              </w:rPr>
              <w:t>Ісін жаңа бастаған және жұмыс істеп тұрған кәсіпкерлер, АӨК субъектілері</w:t>
            </w:r>
          </w:p>
        </w:tc>
        <w:tc>
          <w:tcPr>
            <w:tcW w:type="dxa" w:w="1928"/>
          </w:tcPr>
          <w:p>
            <w:r>
              <w:rPr>
                <w:rFonts w:ascii="Times New Roman" w:hAnsi="Times New Roman"/>
                <w:sz w:val="28"/>
              </w:rPr>
              <w:t>8000 АЕК (ірі қалаларда);&lt;br&gt;6500 АЕК (моноқалаларда)</w:t>
            </w:r>
          </w:p>
        </w:tc>
        <w:tc>
          <w:tcPr>
            <w:tcW w:type="dxa" w:w="1928"/>
          </w:tcPr>
          <w:p>
            <w:r>
              <w:rPr>
                <w:rFonts w:ascii="Times New Roman" w:hAnsi="Times New Roman"/>
                <w:sz w:val="28"/>
              </w:rPr>
              <w:t>6%</w:t>
            </w:r>
          </w:p>
        </w:tc>
        <w:tc>
          <w:tcPr>
            <w:tcW w:type="dxa" w:w="1928"/>
          </w:tcPr>
          <w:p>
            <w:r>
              <w:rPr>
                <w:rFonts w:ascii="Times New Roman" w:hAnsi="Times New Roman"/>
                <w:sz w:val="28"/>
              </w:rPr>
              <w:t>Инвестицияға — 5 жылға дейін; айналым қаражатына — 3 жылға дейін</w:t>
            </w:r>
          </w:p>
        </w:tc>
      </w:tr>
      <w:tr>
        <w:tc>
          <w:tcPr>
            <w:tcW w:type="dxa" w:w="1928"/>
          </w:tcPr>
          <w:p>
            <w:r>
              <w:rPr>
                <w:rFonts w:ascii="Times New Roman" w:hAnsi="Times New Roman"/>
                <w:sz w:val="28"/>
              </w:rPr>
              <w:t>«Қарапайым заттар экономикасы»</w:t>
            </w:r>
          </w:p>
        </w:tc>
        <w:tc>
          <w:tcPr>
            <w:tcW w:type="dxa" w:w="1928"/>
          </w:tcPr>
          <w:p>
            <w:r>
              <w:rPr>
                <w:rFonts w:ascii="Times New Roman" w:hAnsi="Times New Roman"/>
                <w:sz w:val="28"/>
              </w:rPr>
              <w:t>ШОК, ірі бизнес</w:t>
            </w:r>
          </w:p>
        </w:tc>
        <w:tc>
          <w:tcPr>
            <w:tcW w:type="dxa" w:w="1928"/>
          </w:tcPr>
          <w:p>
            <w:r>
              <w:rPr>
                <w:rFonts w:ascii="Times New Roman" w:hAnsi="Times New Roman"/>
                <w:sz w:val="28"/>
              </w:rPr>
              <w:t>1 млрд теңгеге дейін</w:t>
            </w:r>
          </w:p>
        </w:tc>
        <w:tc>
          <w:tcPr>
            <w:tcW w:type="dxa" w:w="1928"/>
          </w:tcPr>
          <w:p>
            <w:r>
              <w:rPr>
                <w:rFonts w:ascii="Times New Roman" w:hAnsi="Times New Roman"/>
                <w:sz w:val="28"/>
              </w:rPr>
              <w:t>6%</w:t>
            </w:r>
          </w:p>
        </w:tc>
        <w:tc>
          <w:tcPr>
            <w:tcW w:type="dxa" w:w="1928"/>
          </w:tcPr>
          <w:p>
            <w:r>
              <w:rPr>
                <w:rFonts w:ascii="Times New Roman" w:hAnsi="Times New Roman"/>
                <w:sz w:val="28"/>
              </w:rPr>
              <w:t>Несие мерзімінен аспайды</w:t>
            </w:r>
          </w:p>
        </w:tc>
      </w:tr>
    </w:tbl>
    <w:p/>
    <w:p>
      <w:r>
        <w:t>Ескерту — [3, 13-б.] дереккөзі негізінде құрастырылды.</w:t>
      </w:r>
    </w:p>
    <w:p>
      <w:r>
        <w:t>Кестеден көрініп тұрғандай, мемлекеттік бағдарламалар кәсіпкер үшін 6% болатын бірыңғай жеңілдетілген мөлшерлеме ұсынған [3, 14-б.]. «Еңбек» бағдарламасы негізінен жаңадан іс бастаушылар мен шағын кәсіпкерлерге, соның ішінде ауыл шаруашылығы саласындағыларға бағытталса, «Қарапайым заттар экономикасы» бағдарламасы импортты алмастыруға және отандық тауар өндірушілерді қолдауға басымдық берді [3, 12-б.].</w:t>
      </w:r>
    </w:p>
    <w:p>
      <w:r>
        <w:t>Осы бағдарламалардың маңызды құралдарының бірі — несиеге кепілдік беру. Кепілдік дегеніміз — кәсіпкердің несие алу үшін кепіл мүлкі жетіспеген жағдайда, мемлекеттің («Даму» қоры арқылы) кепілгер болуы. Бұл құрал әсіресе жаңадан іс бастаған кәсіпкерлер үшін маңызды, себебі оларға несиенің 85%-на дейін кепілдік берілуі мүмкін, ал жұмыс істеп тұрған кәсіпкерлер үшін бұл көрсеткіш 50%-ды құрайды [11, 48-б.]. Мұндай шаралар кәсіпкерліктің қаржыландыруға қол жеткізуіндегі негізгі кедергілердің бірін жояды.</w:t>
      </w:r>
    </w:p>
    <w:p>
      <w:r>
        <w:t>Қолдау көрсетудің институционалдық құрылымы</w:t>
      </w:r>
    </w:p>
    <w:p>
      <w:r>
        <w:t>Қазақстанда ШОК-ты қолдау жүйесі көптеген институттарды қамтиды, олардың әрқайсысының өз міндеттері мен функциялары бар. Бұл институттардың негізгілері — «Даму» қоры және «Атамекен» ҰКП.</w:t>
      </w:r>
    </w:p>
    <w:p>
      <w:r>
        <w:t>«Даму» кәсіпкерлікті дамыту қоры» АҚ — мемлекеттік бағдарламалар аясында қаржылық қолдау шараларының негізгі операторы. Қордың негізгі қызметі — екінші деңгейлі банктер арқылы берілетін несиелердің пайыздық мөлшерлемесін субсидиялау, жетіспейтін кепілдіктерді қамтамасыз ету және жеңілдетілген несиелер ұсыну [3, 14-б.], ал оның Қазақстан бойынша аймақтық филиалдар желісі өңірлердегі кәсіпкерлермен тиімді жұмыс істеуге мүмкіндік береді [14, 88-89-б.].</w:t>
      </w:r>
    </w:p>
    <w:p>
      <w:r>
        <w:t>«Атамекен» Ұлттық кәсіпкерлер палатасы кәсіпкерлердің құқықтары мен заңды мүдделерін қорғауды, сондай-ақ қаржылық емес қолдау көрсетуді қамтамасыз етеді. ҰКП-ның негізгі міндеті — бизнес пен билік арасындағы тиімді диалогты орнату [11, 45-б.]. «Атамекен» ҰКП аймақтық палаталар арқылы «Бастау-Бизнес» сияқты оқыту бағдарламаларын жүргізіп, заңгерлік және бухгалтерлік кеңестер береді, сондай-ақ бизнес-жоспар құруға көмектесу арқылы кәсіпкерлердің білімі мен құзыреттілігін арттыруда маңызды рөл атқарады [3, 15-б.].</w:t>
      </w:r>
    </w:p>
    <w:p>
      <w:r>
        <w:t>Бұдан бөлек, қолдау жүйесіне «Қазақстанның Даму Банкі» АҚ (ірі индустриялық жобалар), «KazakhExport» АҚ (экспортқа бағытталған кәсіпорындарды сақтандыру), «Аграрлық несие корпорациясы» АҚ (агроөнеркәсіп кешені) сияқты салалық даму институттары кіреді [3, 14-б.]. Бұл институттардың әрқайсысы экономиканың белгілі бір секторындағы кәсіпорындарға мамандандырылған қолдау көрсетеді.</w:t>
      </w:r>
    </w:p>
    <w:p>
      <w:r>
        <w:t>Жалпы, Қазақстанда кәсіпкерлерге бизнестің әртүрлі кезеңдерінде қажетті қаржылық және қаржылық емес көмек ұсынуға бағытталған көп деңгейлі, тармақталған мемлекеттік қолдау жүйесі қалыптасқан. «Бизнестің жол картасы-2025» кешенді бағдарламасы, «Даму» қоры және «Атамекен» ҰКП — осы жүйенің негізгі элементтері.</w:t>
      </w:r>
    </w:p>
    <w:p>
      <w:pPr>
        <w:pStyle w:val="Heading2"/>
      </w:pPr>
      <w:bookmarkStart w:id="109" w:name="_Toc_heading_9"/>
      <w:r>
        <w:t>2.3. Мемлекеттік қолдау шараларының тиімділігін бағалау және проблемалары</w:t>
      </w:r>
      <w:bookmarkEnd w:id="109"/>
    </w:p>
    <w:p>
      <w:r>
        <w:t>Қазақстанда шағын және орта бизнесті (ШОБ) дамыту — мемлекеттік экономикалық саясаттың басым бағыттарының бірі. Осы мақсатта көптеген бағдарлама мен құрал іске қосылғанымен, бұл сектордың тұрақты дамуына кедергі келтіретін бірқатар жүйелі проблема сақталып отыр. Мемлекеттік қолдау шараларының сандық өсімі сапалық тиімділікке әрдайым кепілдік бермейді. Жүргізілген талдаулар кәсіпкерлердің мемлекеттік бағдарламалардың игілігін толық көре алмауының себептері қаржыландыруға қол жетімділіктің шектеулігі, әкімшілік кедергілер және қолдау жүйесіндегі кемшіліктермен байланысты екенін көрсетеді.</w:t>
      </w:r>
    </w:p>
    <w:p>
      <w:r>
        <w:t>Мемлекеттік қолдау бағдарламаларының тиімділігіне қатысты жүргізілген зерттеулер олардың кәсіпкерлерге толық жете алмайтынын байқатады. Мысалы, «Іскерлік ахуал – 2019» сауалнамасының нәтижелері бойынша, респонденттердің тек 60%-ы «Бизнестің жол картасы – 2020» бағдарламасы туралы хабардар болған, ал олардың тек 12%-ы ғана осы бағдарлама аясында өзара әрекеттесуге талпыныс жасаған [2, 10-б.]. Бұл көрсеткіш мемлекеттік қолдау туралы ақпараттың таралуында елеулі кемшіліктер барын аңғартады. Тиімділік мәселесі басқа зерттеулерде де расталады. Бұған қоса, бағдарламаға қатысуға тырысқан кәсіпкерлер талап етілетін құжаттардың көптігіне және өтінімдердің ұзақ қаралатынына шағымданған [2, 10-б.]. Бір сауалнамада компаниялардың 50%-дан астамы мемлекеттен қолдау алу процесінің үш аптадан көп уақыт алатынын көрсетсе, 34%-ы бағдарламалардағы критерийлердің өзектілігі мен орындалуын «орташа деңгейден төмен» деп бағалаған [3, 6-б.]. Тіпті «салықтық үзілістер» сияқты тікелей көмек шарасын компаниялардың тек 11%-ы ғана қаржылық жағдайды тұрақтандыру үшін тиімді деп санаған [3, 7-б.]. Бұл — қолдау шараларының дизайны мен іске асырылуы кәсіпкерлердің нақты қажеттіліктеріне сәйкес келмеуі мүмкін екенін білдіреді.</w:t>
      </w:r>
    </w:p>
    <w:p>
      <w:r>
        <w:t>ШОБ үшін ең өзекті мәселелердің бірі — қаржыландыруға қол жетімділіктің төмендігі. Бұл мәселе бірнеше қырынан көрініс табады. Біріншіден, экономикадағы қаржы ресурстарының ШОБ секторына бағытталған үлесі әлі де төмен. Мәселен, зерттеулерге сәйкес, Қазақстан экономикасын қаржыландыру көздерінің тек 8,2%-ы ғана ШОБ-қа бағытталады, ал сектор негізінен кәсіпкерлердің өз қаражаты есебінен қаржыландырылады [4, 3-б.]. Екінші деңгейлі банктердің несиелеудегі үлесі небәрі төрттен бірін құрайды. Екіншіден, несие ресурстарының өңірлер арасында әркелкі бөлінуі байқалады. 2024 жылғы 1 қаңтардағы жағдай бойынша, банктердің ШОБ субъектілеріне берген несиелерінің жалпы республикалық көлемінің 49,33%-ы тек Алматы қаласына тиесілі болған. Керісінше, жұмыс істеп тұрған субъектілер саны бойынша үшінші орында тұрған Түркістан облысы несие көлемі бойынша соңғы орында қалып, жалпы көлемнің 0,72%-ын ғана иеленген [5, 5-б.]. Мұндай теңсіздік өңірлердегі кәсіпкерліктің даму әлеуетін тежейді. Сонымен бірге, банктердің жоғары пайыздық мөлшерлемелері мен қатаң кепілдік талаптары көптеген кәсіпкерлер үшін несиені қолжетімсіз етеді [1, 2-б.; 4, 3-б.].</w:t>
      </w:r>
    </w:p>
    <w:p>
      <w:pPr>
        <w:ind w:firstLine="0"/>
        <w:jc w:val="center"/>
      </w:pPr>
      <w:r>
        <w:drawing>
          <wp:inline xmlns:a="http://schemas.openxmlformats.org/drawingml/2006/main" xmlns:pic="http://schemas.openxmlformats.org/drawingml/2006/picture">
            <wp:extent cx="5040000" cy="294000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40000" cy="2940000"/>
                    </a:xfrm>
                    <a:prstGeom prst="rect"/>
                  </pic:spPr>
                </pic:pic>
              </a:graphicData>
            </a:graphic>
          </wp:inline>
        </w:drawing>
      </w:r>
    </w:p>
    <w:p>
      <w:pPr>
        <w:ind w:firstLine="0"/>
        <w:jc w:val="center"/>
      </w:pPr>
      <w:r>
        <w:rPr>
          <w:i/>
          <w:sz w:val="20"/>
        </w:rPr>
        <w:t>Сурет 2. 2024 ж. 1 қаңтардағы жағдай бойынша ШОБ-ты несиелендірудің өңірлік құрылымы</w:t>
      </w:r>
    </w:p>
    <w:p>
      <w:pPr>
        <w:spacing w:after="320"/>
        <w:ind w:firstLine="0"/>
        <w:jc w:val="center"/>
      </w:pPr>
      <w:r>
        <w:rPr>
          <w:i/>
          <w:sz w:val="18"/>
        </w:rPr>
        <w:t>Дереккөз: (Сыздықова 2024, 5-б.)</w:t>
      </w:r>
    </w:p>
    <w:p>
      <w:r>
        <w:t>Несиелік ресурстардың ірі орталықтарда шоғырлануы аймақтық теңсіздікті күшейтеді. Бұдан бөлек, Қазақстанда венчурлық қаржыландыру сияқты баламалы қаржы құралдарының іс жүзінде жоқ екендігі де атап өтіледі, бұл әсіресе инновациялық және технологиялық стартаптардың дамуына кедергі келтіреді [5, 5-б.].</w:t>
      </w:r>
    </w:p>
    <w:p>
      <w:r>
        <w:t>Қаржылық қиындықтардан бөлек, ШОБ қызметіне әкімшілік және институционалдық кедергілер де айтарлықтай әсер етеді. Forbes Kazakhstan жүргізген сауалнамада кәсіпкерлер бизнеске кедергі келтіретін негізгі проблемалар ретінде банк жүйесінің тұрақсыздығын, сыбайлас жемқорлықты, сот және құқық қорғау органдарына деген сенімнің төмендігін, мемлекеттік қолдаудың тиімсіздігін және мемлекеттік органдар тарапынан жиі тексерулерді атаған [12, 3-б.]. Сыбайлас жемқорлық мәселесі кәсіпкерліктің дамуына елеулі нұқсан келтіретін фактор ретінде бірнеше зерттеуде қарастырылған [15, 67-б.]. Сонымен қатар салық жүктемесінің жоғары болуы да маңызды проблема болып қала береді. Дүниежүзілік банктің «Doing Business 2019» рейтингінде Қазақстанның «Салық салу» индикаторы бойынша 64-орын алуы елдегі салықтық ахуалдың күрделі екенін көрсетеді [5, 5-б.]. Жоғары салық жүктемесі кәсіпорындарды бөлшектеніп, көлеңкелі секторға кетуге итермелейді. Ұлттық статистика бюросының дерегінше, 2023 жылдың соңында көлеңкелі экономиканың үлесі 19,75%-ды құрады [5, 6-б.]. Бұл — елеулі көрсеткіш.</w:t>
      </w:r>
    </w:p>
    <w:p>
      <w:r>
        <w:t>Мемлекеттік саясаттың тиімділігін бағалауда кездесетін тағы бір қиындық — статистикалық есептіліктің кемшіліктері. Қазақстанда ШОБ субъектілерін жіктеу үшін Кәсіпкерлік кодексте қызметкерлер саны мен жылдық табыс критерийлері бекітілгенімен, ресми статистика 2014 жылдан бері тек қызметкерлердің орташа жылдық санына негізделеді [8, 3-б.]. Нәтижесінде, қызметкерлері аз, бірақ айналымы ірі компаниялар шағын кәсіпкерлік ретінде тіркелуі мүмкін. Бұл жағдай ШОБ-тың жалпы ішкі өнімдегі үлесі туралы деректерді бұрмалайды. Мысалы, егер ірі айналымы бар компанияларды алып тастаса, ШОБ-тың ЖІӨ-дегі үлесі 2022 жылғы ресми 32,8%-дан 12,7%-ға дейін төмендейтіні есептелген [8, 3-б.]. Мұндай статистикалық сәйкессіздіктер қолдау шараларының тиімділігін дұрыс бағалауға кедергі келтіреді. Сонымен бірге олар ғылыми негізделген шешімдер қабылдауды қиындатады [2, 11-б.].</w:t>
      </w:r>
    </w:p>
    <w:p>
      <w:r>
        <w:t>Осылайша, Қазақстанда ШОБ-ты қолдауға бағытталған саясат оң нәтижелер бергенімен, оның тиімділігі бірқатар жүйелі проблемалармен шектелгені анықталды. Мемлекеттік бағдарламалардың кәсіпкерлерге толық жете алмауы, қаржыландырудың, әсіресе өңірлерде, қолжетімсіздігі, ауыр салықтық және әкімшілік жүктеме, сондай-ақ статистикалық деректердің сәйкессіздігі — осы сектордың әлеуетін толық ашуға мүмкіндік бермей отырған негізгі кедергілер. Демек, болашақта қолдау шараларын одан әрі жетілдіру үшін оларды неғұрлым атаулы, қолжетімді және транспарентті ету қажет. Бұл — маңызды міндет.</w:t>
      </w:r>
    </w:p>
    <w:p>
      <w:r>
        <w:br w:type="page"/>
      </w:r>
    </w:p>
    <w:p>
      <w:pPr>
        <w:pStyle w:val="Heading1"/>
      </w:pPr>
      <w:bookmarkStart w:id="110" w:name="_Toc_heading_10"/>
      <w:r>
        <w:t>3 ҚАЗАҚСТАНДАҒЫ ШАҒЫН ЖӘНЕ ОРТА БИЗНЕСТІ МЕМЛЕКЕТТІК ҚОЛДАУ ЖҮЙЕСІН ЖЕТІЛДІРУ ЖОЛДАРЫ</w:t>
      </w:r>
      <w:bookmarkEnd w:id="110"/>
    </w:p>
    <w:p>
      <w:pPr>
        <w:pStyle w:val="Heading2"/>
      </w:pPr>
      <w:bookmarkStart w:id="111" w:name="_Toc_heading_11"/>
      <w:r>
        <w:t>3.1. Мемлекеттік қолдау механизмдерін оңтайландыру бойынша ұсыныстар</w:t>
      </w:r>
      <w:bookmarkEnd w:id="111"/>
    </w:p>
    <w:p>
      <w:r>
        <w:t>Қазақстанда шағын және орта бизнесті (ШОБ) мемлекеттік қолдау жүйесінің жұмысына жасалған талдау оның тиімділігін төмендететін бірқатар жүйелі мәселе барын көрсетті. Бұл мәселелерге қаржыландырудың теңсіздігі, әкімшілік кедергілердің көптігі, ақпараттық қолдаудың әлсіздігі және қолданыстағы тетіктердің өңірлік ерекшеліктерді ескермеуі жататындықтан, қолданыстағы қолдау шараларын жетілдіріп, ШОБ-тың ел экономикасындағы рөлін арттыру мақсатында кешенді ұсыныстар әзірлеу өзекті болып отыр. Ұсыныстар қаржылық, институционалдық және ақпараттық қолдау бағыттарын қамтиды.</w:t>
      </w:r>
    </w:p>
    <w:p>
      <w:r>
        <w:t>Зерттеулер көрсеткендей, Қазақстанда бұл салада айтарлықтай кедергілер бар. Кәсіпкерлер жоғары пайыздық мөлшерлемелермен, қатаң кепілдік талаптарымен және несиелік ресурстардың өңірлер бойынша әркелкі бөлінуімен бетпе-бет келеді [1, 62-б.; 2, 15-б.]. Осы мәселелерді шешу үшін мынадай шаралар ұсынылады.</w:t>
      </w:r>
    </w:p>
    <w:p>
      <w:r>
        <w:t>1. Несие беруде өңірлік үйлестіру кеңестерінің рөлін күшейту. Қазіргі таңда қаржылық қолдау көрсету алгоритмі көбіне екінші деңгейлі банктің несиені мақұлдауына негізделеді [1, 62-б.]. Бұл тәсіл жобаның өңірдің әлеуметтік-экономикалық дамуы үшін маңыздылығын ескермеуі мүмкін. Бұл кеңестің құрамына жергілікті атқарушы органдар, салалық қауымдастықтар мен кәсіпкерлік қоғамдастық өкілдерін тарту арқылы несие беру туралы шешім қабылдауда өңірдің басымдықтары ескерілуі тиіс [1, 62-б.]. Бұл өзгеріс несиелік ресурстардың ірі қалаларда шоғырлануын азайтуға ықпал етеді. Мысалы, 2024 жылғы деректер бойынша банктердің ШОБ субъектілеріне берген несиелерінің 49,33%-ы Алматы қаласына тиесілі болса, Түркістан облысының үлесі небәрі 0,72% құраған [3, 5-б.].</w:t>
      </w:r>
    </w:p>
    <w:p>
      <w:r>
        <w:t>2. Баламалы қаржыландыру институттарын дамыту. Банктік несиелеудің қатаң талаптарын, әсіресе кепілге қатысты, шағын және жаңадан құрылған кәсіпорындар орындай алмайды [2, 15-б.]. Осы мәселені шешу үшін формальды емес микрокредиттік ұйымдар мен несиелік кооперативтер институтын дамыту ұсынылады. Мұндай ұйымдар шешім қабылдауда ресми кепіл мен бизнес-жоспарға ғана емес, сонымен бірге әлеуметтік капитал факторларына, яғни кооперативтің басқа мүшелерінің сенімі мен кепілгерлігіне сүйенеді [1, 61-62-б.]. Ол кәсіпорындардың кейіннен ресми секторға өтуіне жағдай жасайды.</w:t>
      </w:r>
    </w:p>
    <w:p>
      <w:r>
        <w:t>3. Халықаралық озық тәжірибені енгізу. Мысалы, Францияда жаңа кәсіпорындар екі жылға салықтан босатылса, АҚШ-та «бірінші жыл бонусы» сияқты салықтық жеңілдіктер қарастырылған [3, 4-б.], сондықтан Қазақстанда да пайыздық мөлшерлемелерді субсидиялау, несиеге кепілдік беру, салықтық төлемдерді кейінге қалдыру сияқты құралдарды кеңінен қолдану қажет [3, 5-б.]. Тиімділікті арттыру үшін рәсімдерді жеңілдету маңызды.</w:t>
      </w:r>
    </w:p>
    <w:p>
      <w:r>
        <w:t>Әкімшілік кедергілер, заңнамадағы олқылықтар және бюрократиялық процедуралардың күрделілігі кәсіпкерлер үшін елеулі қиындықтар тудырады. Сауалнамаға қатысқан кәсіпкерлердің 20,2%-ы әкімшілік кедергілерді, 14,6%-ы салық салу мәселелерін және 13,2%-ы заңнамадағы олқылықтарды ШОБ дамуындағы негізгі проблемалар ретінде атаған [4, 67-б.].</w:t>
      </w:r>
    </w:p>
    <w:p>
      <w:r>
        <w:t>1. Кәсіпкерлердің құқықтарын қорғаудың бірыңғай цифрлық жүйесін құру. Ол үшін электрондық үкімет базасында арнайы портал құру ұсынылады. Бұл портал арқылы кәсіпкер онлайн режимде шағым бере алады, оның қаралу барысын бақылай алады және нәтижесі туралы хабардар болады. Шағымдарды орындаушыларға бөлуді ҚР Ұлттық экономика министрлігінің Кәсіпкерлікті дамыту департаменті, ал орындалуын бақылауды «Атамекен» ҰКП мен прокуратура органдары жүзеге асыруы тиіс. Барлық қабылданған шешімдер хаттамалануы керек, бұл ашықтықты қамтамасыз етеді [1, 62-63-б.].</w:t>
      </w:r>
    </w:p>
    <w:p>
      <w:r>
        <w:t>2. «Реттеуші гильотина» қағидатын жүйелі түрде қолдану. Заңнаманың реттеушілік әсерін талдау (РӘТ) рәсімі Қазақстанда 2015 жылдан бастап енгізілгенімен, оның тетіктерін жетілдіру қажет [1, 63-б.], себебі РӘТ мемлекеттік бюджетке әсерін ғана емес, сонымен бірге ШОБ субъектілеріне түсетін шығындар мен қолдау шараларының салыстырмалы талдауын қамтуы тиіс. Бұл бизнес-ахуалды жақсартуға және мемлекеттік реттеудің тиімділігін арттыруға мүмкіндік береді [5, 42-б.].</w:t>
      </w:r>
    </w:p>
    <w:p>
      <w:r>
        <w:t>3. Сот жүйесінің тәуелсіздігін және меншік құқығын қорғауды күшейту. Ол үшін биліктің басқа тармақтарынан тәуелсіз, жемқорлықтан ада сот жүйесін қалыптастыру қажет [1, 64-б.]. Бұл процесс сот корпорациясының жоғарғы эшелондарынан, яғни Жоғарғы және облыстық соттардан басталуы керек. Тәуелсіз сот жүйесі бизнесті озбырлықтан қорғайды. Бұл инвестициялар мен жинақтау үшін қолайлы орта жасайды [2, 16-б.].</w:t>
      </w:r>
    </w:p>
    <w:p>
      <w:r>
        <w:t>Мемлекеттік қолдау бағдарламаларының көптігіне қарамастан, кәсіпкерлердің олар туралы ақпараттану деңгейі төмен болып қалуда. Көптеген кәсіпкер, әсіресе өңірлерде, қолдау шаралары туралы білмейді немесе оларды алу процедураларының күрделілігінен бас тартады [2, 15-б.; 6, 12-б.].</w:t>
      </w:r>
    </w:p>
    <w:p>
      <w:r>
        <w:t>1. ШОБ-ты қолдаудың бірыңғай цифрлық платформасын құру. Бұл платформа — кәсіпкерлер үшін барлық мемлекеттік қолдау шаралары, заңнамалық талаптар мен оқыту материалдары туралы ақпаратты біріктіретін негізгі құрал болуы тиіс. Ресейдегі «Навигатор МСП» мобильді қосымшасы сияқты, бұл платформа қаржылық, ақпараттық, мүліктік қолдау түрлері, оқыту бағдарламалары және мемлекеттік сатып алулар туралы толық мәліметтерді қамтуы керек [7, 9-10-б.]. Сингапур тәжірибесіне сүйеніп, арнайы модульдер енгізуге болады. Бұл модульдер стартаптарға, цифрлық маркетингке және компаниялардың өсуін жеделдетуге бағытталуы тиіс [7, 9-б.].</w:t>
      </w:r>
    </w:p>
    <w:tbl>
      <w:tblPr>
        <w:tblStyle w:val="TableGrid"/>
        <w:tblW w:type="auto" w:w="0"/>
        <w:tblLayout w:type="autofit"/>
        <w:tblLook w:firstColumn="1" w:firstRow="1" w:lastColumn="0" w:lastRow="0" w:noHBand="0" w:noVBand="1" w:val="04A0"/>
      </w:tblPr>
      <w:tblGrid>
        <w:gridCol w:w="4819"/>
        <w:gridCol w:w="4819"/>
      </w:tblGrid>
      <w:tr>
        <w:tc>
          <w:tcPr>
            <w:tcW w:type="dxa" w:w="4819"/>
          </w:tcPr>
          <w:p>
            <w:r>
              <w:rPr>
                <w:rFonts w:ascii="Times New Roman" w:hAnsi="Times New Roman"/>
                <w:b/>
                <w:sz w:val="28"/>
              </w:rPr>
              <w:t>Модуль</w:t>
            </w:r>
          </w:p>
        </w:tc>
        <w:tc>
          <w:tcPr>
            <w:tcW w:type="dxa" w:w="4819"/>
          </w:tcPr>
          <w:p>
            <w:r>
              <w:rPr>
                <w:rFonts w:ascii="Times New Roman" w:hAnsi="Times New Roman"/>
                <w:b/>
                <w:sz w:val="28"/>
              </w:rPr>
              <w:t>Мазмұны мен қызметі</w:t>
            </w:r>
          </w:p>
        </w:tc>
      </w:tr>
      <w:tr>
        <w:tc>
          <w:tcPr>
            <w:tcW w:type="dxa" w:w="4819"/>
          </w:tcPr>
          <w:p>
            <w:r>
              <w:rPr>
                <w:rFonts w:ascii="Times New Roman" w:hAnsi="Times New Roman"/>
                <w:sz w:val="28"/>
              </w:rPr>
              <w:t>Қолдау шараларының навигаторы</w:t>
            </w:r>
          </w:p>
        </w:tc>
        <w:tc>
          <w:tcPr>
            <w:tcW w:type="dxa" w:w="4819"/>
          </w:tcPr>
          <w:p>
            <w:r>
              <w:rPr>
                <w:rFonts w:ascii="Times New Roman" w:hAnsi="Times New Roman"/>
                <w:sz w:val="28"/>
              </w:rPr>
              <w:t>Барлық бағдарламалар (грант, субсидия, кепілдік) бойынша толық ақпарат, талаптар, онлайн өтінім беру.</w:t>
            </w:r>
          </w:p>
        </w:tc>
      </w:tr>
      <w:tr>
        <w:tc>
          <w:tcPr>
            <w:tcW w:type="dxa" w:w="4819"/>
          </w:tcPr>
          <w:p>
            <w:r>
              <w:rPr>
                <w:rFonts w:ascii="Times New Roman" w:hAnsi="Times New Roman"/>
                <w:sz w:val="28"/>
              </w:rPr>
              <w:t>Құқықтық көмек</w:t>
            </w:r>
          </w:p>
        </w:tc>
        <w:tc>
          <w:tcPr>
            <w:tcW w:type="dxa" w:w="4819"/>
          </w:tcPr>
          <w:p>
            <w:r>
              <w:rPr>
                <w:rFonts w:ascii="Times New Roman" w:hAnsi="Times New Roman"/>
                <w:sz w:val="28"/>
              </w:rPr>
              <w:t>Заңнамалық актілердің тегін базасы, типтік шарттар, құқық бұзушылық туралы онлайн шағым беру және қарау статусын бақылау [1, 62-б.].</w:t>
            </w:r>
          </w:p>
        </w:tc>
      </w:tr>
      <w:tr>
        <w:tc>
          <w:tcPr>
            <w:tcW w:type="dxa" w:w="4819"/>
          </w:tcPr>
          <w:p>
            <w:r>
              <w:rPr>
                <w:rFonts w:ascii="Times New Roman" w:hAnsi="Times New Roman"/>
                <w:sz w:val="28"/>
              </w:rPr>
              <w:t>Оқыту орталығы</w:t>
            </w:r>
          </w:p>
        </w:tc>
        <w:tc>
          <w:tcPr>
            <w:tcW w:type="dxa" w:w="4819"/>
          </w:tcPr>
          <w:p>
            <w:r>
              <w:rPr>
                <w:rFonts w:ascii="Times New Roman" w:hAnsi="Times New Roman"/>
                <w:sz w:val="28"/>
              </w:rPr>
              <w:t>Бизнесті жүргізу, салық, маркетинг, экспорттық операциялар бойынша онлайн курстар мен вебинарлар [7, 10-б.].</w:t>
            </w:r>
          </w:p>
        </w:tc>
      </w:tr>
      <w:tr>
        <w:tc>
          <w:tcPr>
            <w:tcW w:type="dxa" w:w="4819"/>
          </w:tcPr>
          <w:p>
            <w:r>
              <w:rPr>
                <w:rFonts w:ascii="Times New Roman" w:hAnsi="Times New Roman"/>
                <w:sz w:val="28"/>
              </w:rPr>
              <w:t>Сатып алулар порталы</w:t>
            </w:r>
          </w:p>
        </w:tc>
        <w:tc>
          <w:tcPr>
            <w:tcW w:type="dxa" w:w="4819"/>
          </w:tcPr>
          <w:p>
            <w:r>
              <w:rPr>
                <w:rFonts w:ascii="Times New Roman" w:hAnsi="Times New Roman"/>
                <w:sz w:val="28"/>
              </w:rPr>
              <w:t>Мемлекеттік және квазимемлекеттік сектордың сатып алу жоспарлары, тендерлерге қатысу бойынша нұсқаулықтар.</w:t>
            </w:r>
          </w:p>
        </w:tc>
      </w:tr>
      <w:tr>
        <w:tc>
          <w:tcPr>
            <w:tcW w:type="dxa" w:w="4819"/>
          </w:tcPr>
          <w:p>
            <w:r>
              <w:rPr>
                <w:rFonts w:ascii="Times New Roman" w:hAnsi="Times New Roman"/>
                <w:sz w:val="28"/>
              </w:rPr>
              <w:t>Өңірлік бизнес-карта</w:t>
            </w:r>
          </w:p>
        </w:tc>
        <w:tc>
          <w:tcPr>
            <w:tcW w:type="dxa" w:w="4819"/>
          </w:tcPr>
          <w:p>
            <w:r>
              <w:rPr>
                <w:rFonts w:ascii="Times New Roman" w:hAnsi="Times New Roman"/>
                <w:sz w:val="28"/>
              </w:rPr>
              <w:t>Әр өңірдің инвестициялық мүмкіндіктері, бос жер телімдері, индустриялық аймақтар мен инфрақұрылым туралы ақпарат [7, 10-б.].</w:t>
            </w:r>
          </w:p>
        </w:tc>
      </w:tr>
    </w:tbl>
    <w:p/>
    <w:p>
      <w:r>
        <w:t>Ескертпе: Автормен дереккөздер негізінде құрастырылған [1; 7].</w:t>
      </w:r>
    </w:p>
    <w:p>
      <w:r>
        <w:t>2. Қаржылық емес қолдау шараларын күшейту. Кәсіпкерлердің басқарушылық дағдыларының жетіспеушілігі жиі кездесетін мәселе [5, 301-б.]. Сондықтан «Атамекен» ҰКП және «Даму» қоры сияқты институттардың базасында бизнес-жоспарлау, қаржылық сауаттылық, цифрлық маркетинг және экспортқа шығу бойынша тегін оқыту бағдарламаларының санын және сапасын арттыру қажет. Бұл ретте ЭЫДҰ елдерінің тәжірибесіне сүйенуге болады, онда қолдау шараларының 52%-ы ШОБ-тың ғаламдық желілер арқылы байланысын кеңейтуге бағытталған [2, 14-б.].</w:t>
      </w:r>
    </w:p>
    <w:p>
      <w:r>
        <w:t>3. Ақпараттық-түсіндіру жұмыстарын жандандыру. Мемлекеттік органдар мен даму институттары қолдау бағдарламалары туралы ақпаратты әлеуметтік желілер, мақсатты жарнама, өңірлердегі кездесулер мен семинарлар арқылы белсенді жеткізудің жаңа әрі тиімді жолдарын іздеуі тиіс. Сауалнамалар көрсеткендей, кәсіпкерлердің жартысынан астамы ақпаратқа қолжетімділікті «орташа» деп қана бағалайды [8, 7-б.].</w:t>
      </w:r>
    </w:p>
    <w:p>
      <w:r>
        <w:t>Жоғарыда аталған ұсыныстарды кешенді іске асыру Қазақстандағы шағын және орта бизнесті қолдау жүйесінің тиімділігін арттыруға, кәсіпкерлік ахуалды жақсартуға және ШОБ-тың елдің экономикалық дамуына қосатын үлесін ұлғайтуға мүмкіндік береді. Аталған шаралар бизнесті қолдаудың қолданыстағы құралдарының тиімділігін арттырып, «мемлекет-бизнес» жүйесінің жұмысын оңтайландырады [1, 64-б.].</w:t>
      </w:r>
    </w:p>
    <w:p>
      <w:pPr>
        <w:pStyle w:val="Heading2"/>
      </w:pPr>
      <w:bookmarkStart w:id="112" w:name="_Toc_heading_12"/>
      <w:r>
        <w:t>3.2. ШОБ-ты қолдаудың жаңа перспективалық бағыттары</w:t>
      </w:r>
      <w:bookmarkEnd w:id="112"/>
    </w:p>
    <w:p>
      <w:r>
        <w:t>Қазақстанда шағын және орта кәсіпкерлікті (ШОБ) дамытуға бағытталған мемлекеттік саясаттың тиімділігін арттыру үшін халықаралық тәжірибені ескере отырып, қолданыстағы тетіктерді жетілдіру және жаңа бағыттарды енгізу қажет. Алдыңғы тарауларда жүргізілген талдаулар ШОБ субъектілерінің қаржыландыруға қолжетімділігінің шектеулі екенін, өңірлер арасындағы даму теңсіздігін, ақпараттық және қаржылық емес қолдаудың жеткіліксіздігін және бюрократиялық кедергілердің сақталғанын көрсетті [3; 1]. Бұл — кешенді мәселелер. Оларды шешу мақсатында дамыған елдердің озық үлгілеріне негізделген бірқатар перспективалық бағыттарды ұсынуға болады.</w:t>
      </w:r>
    </w:p>
    <w:p>
      <w:r>
        <w:t>Қазіргі таңда цифрлық технологиялар ШОБ-тың бәсекеге қабілеттілігін арттырудың негізгі факторына айналуда. Қазақстанда Kaspi.kz, Halyk Bank сияқты банктердің мобильді қосымшалары, eGov және Atameken Academy сияқты платформалар арқылы белгілі бір цифрлық қызметтер көрсетілгенімен, бұл шаралардың жүйелілігі мен ауқымы жеткіліксіз болып отыр [4, б.3]. ЭЫДҰ зерттеулері көрсеткендей, елдегі цифрлық инфрақұрылымның дамуында да бірқатар мәселелер сақталуда [1, б.15]. Осыған байланысты, келесі шараларды іске асыру ұсынылады.</w:t>
      </w:r>
    </w:p>
    <w:p>
      <w:r>
        <w:t>«Бірыңғай цифрлық платформа» құру — кәсіпкерлерге мемлекеттік қолдаудың барлық құралдарын бір орталықтан алуға мүмкіндік беретін интеграцияланған онлайн-ресурс. Мұндай платформа кәсіпкерлердің қолдау шаралары туралы жеткілікті деңгейде хабардар болмауы және бюрократиялық кедергілер сияқты өзекті мәселелерді шешуге ықпал етеді [1, б.15]. Платформа гранттар мен несиелерге өтінім беру, салық есептілігін тапсыру, онлайн оқыту курстарынан өту, консалтингтік қызметтер алу және бизнес-серіктестермен байланыс орнату сияқты функцияларды біріктіруі тиіс. Бұл ұсыныс Исенованың (2022) ШОБ үшін цифрлық платформалар құру жаһандық тренд екендігі туралы тұжырымымен және Тулегенованың (2026) экспорттаушылар үшін «бірыңғай терезе» қағидатын енгізу қажеттігі жөніндегі пікірімен үндеседі [5; 6]. Бұған қоса, ЭЫДҰ сарапшылары Қазақстанға экспорттаушы ШОБ үшін барлық ресурстарға сілтеме беретін бірыңғай онлайн-нұсқаулық әзірлеуді ұсынады. Бұл ұсыныс осындай платформаның маңыздылығын растайды [7, б.40].</w:t>
      </w:r>
    </w:p>
    <w:p>
      <w:r>
        <w:t>Білікті кадрлардың жетіспеушілігі — ШОБ дамуына кедергі келтіретін негізгі факторлардың бірі [3, б.106]. Бұл мәселені шешуде халықаралық тәжірибе көмектеседі. Мысалы, Жаңа Зеландияда шағын бизнеске цифрлық құралдар мен технологиялардың артықшылықтарын пайдалануға көмектесетін «Digital Boost» бағдарламасы іске асырылған [5, б.40]. Түркияда өндіріс секторына бағытталған KOBIGEL цифрлық технологияларды қолдау бағдарламасымен қатар, бүкіл елді қамтитын «Электрондық академия» арқылы кәсіпкерлікке онлайн оқыту жүргізіледі [5, б.41]. Осыған ұқсас, Қазақстандағы Atameken Academy платформасының мүмкіндіктерін кеңейтіп, оны Оңтүстік Кореядағыдай жасанды интеллект пен Big Data негізінде нарықтық болжамдар ұсынатын құралдармен толықтыруға болады [4, б.5]. Бұл шаралар кәсіпкерлердің қаржылық сауаттылығын арттырып, инновациялық жобаларды іске асыруға деген ынтасын күшейтеді.</w:t>
      </w:r>
    </w:p>
    <w:p>
      <w:r>
        <w:t>Шикізаттық емес экспортты дамыту — Қазақстан экономикасын әртараптандырудың маңызды шарты. Дегенмен, қазіргі таңда экспортты қолдау шаралары көбіне жалпылама сипатта және ШОБ-тың ерекше қажеттіліктеріне бейімделмеген, сондықтан осы олқылықтың орнын толтыру үшін келесі бағыттарда жұмыс жүргізу маңызды [7, б.38].</w:t>
      </w:r>
    </w:p>
    <w:p>
      <w:r>
        <w:t>QazTrade ұйымының бірқатар бағдарламалары тиімді болды. Олардың қатарында «Экспорттық акселератор» және «Электрондық коммерция акселераторы» бар. 2020 жылдан бері 500-ден астам компания «Экспорттық акселераторға» қатысып, 437 млн АҚШ доллары сомасына келісімшарттар жасасқан [7, б.38]. Бұл бағдарламаларды одан әрі дамытып, ЭЫДҰ елдерінің тәжірибесіне сүйене отырып, оларды ШОБ-тың нақты қажеттіліктеріне бейімдеу қажет. Сол сияқты, Франция мен Үндістанда ШОБ үшін арнайы ақпараттық-насихаттау және оқыту шаралары әзірленген. Бұл елдерде нарықтық және салалық талдаулар ірі компанияларға қарағанда тартымдылығы жоғары (ниша) сегменттерді нысанаға ала отырып, ШОБ тұрғысынан жасалады [7, б.38-40]. Демек, Қазақстанда да қолдау шараларын салалық ерекшеліктерге (мысалы, тамақ өнеркәсібі, жеңіл өнеркәсіп, IT қызметтері) және кәсіпорынның көлеміне қарай жіктеу керек.</w:t>
      </w:r>
    </w:p>
    <w:p>
      <w:r>
        <w:t>Қазіргі таңда «Даму» қоры, «KazakhExport» сияқты институттар ұсынатын қаржылық қолдау құралдарынан ШОБ субъектілері сирек пайдаланады [7, б.38]. Бұл мәселені шешу үшін бірнеше елдің тәжірибесін қарастыруға болады. Мәселен, АҚШ-та экспорттаушыларды құқықтық-техникалық тұрғыдан қолдайтын электрондық желілер жұмыс істесе, Канада, Дания, Финляндия сияқты көптеген елдер экспорттық операциялар үшін мемлекеттік кепілдіктер көлемін арттырған [2, б.45]. «KazakhExport» қызметін Францияның BpiFrance үлгісімен экспорттық сауданы қаржыландыру бойынша пайыздық мөлшерлемелерді субсидиялау тетігімен толықтыру ұсынылады [7, б.38]. Нәтижесінде бәсекеге қабілеттілік артады.</w:t>
      </w:r>
    </w:p>
    <w:p>
      <w:r>
        <w:t>Мемлекеттік қолдау шараларының басым бөлігі Алматы, Астана сияқты ірі қалаларда шоғырланған, атап айтқанда, ШОБ-қа берілген барлық несиелердің 49,3%-ы тек Алматы қаласының үлесіне тиесілі [1; 2]. Екінші деңгейлі банктердің ауылдық жерлердегі жобаларды несиелеуге қызығушылығының төмен болуы бұл мәселені одан әрі ушықтыруда [8, б.14]. Бұл теңсіздікті азайту үшін кешенді шаралар қажет.</w:t>
      </w:r>
    </w:p>
    <w:p>
      <w:r>
        <w:t>ШОБ дамуына кедергі келтіретін негізгі факторлардың бірі — басқарушылық дағдылардың, қаржылық сауаттылықтың және нарық туралы ақпараттың жетіспеушілігі [3; 9]. Бұл мәселені шешуде Түркияның тәжірибесі үлгі бола алады. Онда Технологияларды дамыту орталықтары (TEKMER) арқылы кәсіпорындарға оқыту, кеңес беру және тәлімгерлік қызметтері көрсетіледі [5, б.41]. Германияда университеттер жанынан құрылған 200-ге жуық бизнес-инкубатордан тұратын кең желі жұмыс істейді [10, б.35]. Осыған ұқсас, Қазақстанның әрбір облыс орталығы мен ірі аудандарында «Атамекен» палатасының қолданыстағы кәсіпкерлерге қызмет көрсету орталықтарының негізінде құзыреттілікті арттыру, бизнес-жоспарлау және маркетинг бойынша тереңдетілген қызмет көрсететін орталықтар құру маңызды. Бұл орталықтардың қызметі жыл сайын артпақта.</w:t>
      </w:r>
    </w:p>
    <w:p>
      <w:r>
        <w:t>Жоғары кепілдік талаптары, әсіресе өңірлердегі кепіл мүлкінің өтімділігінің төмен болуы, кәсіпкерлердің несие ресурстарына қол жеткізуіне айтарлықтай кедергі келтіреді [11, б.6]. «Даму» қорының кепілдік беру құралын кеңейту және оның шарттарын өңірлік ерекшеліктерге (ауыл шаруашылығы, туризм, өңдеу өнеркәсібі) бейімдеу қажет. Халықаралық тәжірибеде мемлекет пен бизнестің тәуекелдерді бөлісуі кеңінен таралған [5, б.42]. Канада, Чили, Дания сияқты көптеген елдер ШОБ үшін несиеге кепілдік беру көлемін ұлғайтқан [2, б.5]. Бұл тетіктерді Қазақстанда енгізу маңызды. Ол өңірлердегі кәсіпкерліктің қаржылық тұрақтылығын арттыруға мүмкіндік береді.</w:t>
      </w:r>
    </w:p>
    <w:p>
      <w:r>
        <w:t>Ұсынылған цифрлық трансформация, экспорттық әлеуетті арттыру және өңірлік теңсіздікті азайту бағыттары Қазақстанның ШОБ-ты қолдау саясатын жаңа деңгейге көтеруге бағытталған. Бұл шараларды іске асыру мемлекеттік органдардың, даму институттарының және бизнес-қоғамдастықтың тығыз үйлесімді жұмысын талап етеді. Бұл — маңызды шарт. Осы ұсыныстардың кешенді түрде жүзеге асырылуы Қазақстанның дамыған елдердегідей ШОБ-тың ЖІӨ-дегі үлесін 50%-дан асыру жөніндегі стратегиялық мақсатына қол жеткізуіне ықпал етеді [3, б.105].</w:t>
      </w:r>
    </w:p>
    <w:p>
      <w:r>
        <w:br w:type="page"/>
      </w:r>
    </w:p>
    <w:p>
      <w:pPr>
        <w:pStyle w:val="Heading1"/>
      </w:pPr>
      <w:bookmarkStart w:id="113" w:name="_Toc_heading_13"/>
      <w:r>
        <w:t>Қорытынды</w:t>
      </w:r>
      <w:bookmarkEnd w:id="113"/>
    </w:p>
    <w:p>
      <w:r>
        <w:t>Бұл дипломдық жұмыста Қазақстандағы шағын және орта бизнесті (ШОБ) мемлекеттік қолдау жүйесіне кешенді талдау жасалды. Зерттеу аясында секторды қолдаудың теориялық негіздері мен халықаралық тәжірибесі қарастырылып, Қазақстандағы ахуалға және мемлекеттік бағдарламалардың тиімділігіне баға берілді, соның негізінде негізгі проблемалар анықталып, оны жетілдіруге бағытталған ұсыныстар әзірленді.</w:t>
      </w:r>
    </w:p>
    <w:p>
      <w:r>
        <w:t>Талдау нәтижесінде Қазақстанда ШОБ-ты қолдаудың көп деңгейлі институционалдық жүйесі қалыптасқаны анықталды. «Бизнестің жол картасы-2025» сияқты ауқымды бағдарламалардың арқасында сектордың жалпы ішкі өнімдегі үлесі 39,7%-ға жетіп, жұмыспен қамтылғандар саны 4,4 млн адамды құрады. Бұл — мемлекеттік саясаттың оң нәтижесі. Алайда, осы сандық өсімнің артында бірқатар жүйелі проблемалар сақталып отырғаны зерттеу барысында көрсетілді.</w:t>
      </w:r>
    </w:p>
    <w:p>
      <w:r>
        <w:t>Біріншіден, ШОБ дамуында елеулі құрылымдық және аймақтық теңгерімсіздіктер байқалады. Сектордың салалық құрылымында сауданың үлесі жоғары (35%) болып қалуда, ал кәсіпкерлік белсенділік пен несиелік ресурстардың басым бөлігі (шамамен 49,3%-ы) Алматы мен Астана сияқты ірі қалаларда шоғырланған, бұл өңірлердегі кәсіпкерліктің дамуын тежейді. Екіншіден, шағын кәсіпорындар санының өсуімен салыстырғанда, инновациялық әлеуеті жоғары орта бизнестің даму қарқыны баяу екені анықталды («missing middle» мәселесі). Оның ЖІӨ-дегі үлесі небәрі 7,0%-ды құрайды, бұл стратегиялық межеден әлдеқайда төмен.</w:t>
      </w:r>
    </w:p>
    <w:p>
      <w:r>
        <w:t>Үшіншіден, мемлекеттік қолдау шараларының тиімділігін төмендететін кедергілер анықталды. Кәсіпкерлер қаржыландыруға қол жеткізудің қиындығына, атап айтқанда, банктердің жоғары пайыздық мөлшерлемелері мен қатаң кепілдік талаптарына жиі тап болады. Сонымен қатар, мемлекеттік бағдарламалар туралы ақпараттың жеткіліксіздігі, бюрократиялық рәсімдердің күрделілігі және қолдау шараларының кәсіпкерлердің нақты қажеттіліктеріне сәйкес келмеуі сектордың толыққанды дамуына мүмкіндік бермей отыр. Статистикалық есептеудегі кемшіліктер де жағдайды бағалауды қиындатады.</w:t>
      </w:r>
    </w:p>
    <w:p>
      <w:r>
        <w:t>Осы анықталған проблемаларды шешу және мемлекеттік қолдау жүйесін жетілдіру мақсатында дипломдық жұмыстың үшінші тарауында қаржылық, институционалдық және ақпараттық қолдауды қамтитын нақты ұсыныстар әзірленді. Олардың практикалық маңызы зор деп санаймыз.</w:t>
      </w:r>
    </w:p>
    <w:p>
      <w:r>
        <w:t>Қаржылық қолдауды оңтайландыру үшін екі негізгі ұсыныс берілді. Олардың бірі — несие беруде өңірлік үйлестіру кеңестерінің рөлін күшейту, ал екіншісі — микрокредиттік ұйымдар мен несиелік кооперативтер сияқты баламалы қаржыландыру институттарын дамыту, бұл шаралар несиелік ресурстардың өңірлерге әділ бөлінуіне және кепіл мүлкі жеткіліксіз кәсіпкерлердің қаржыға қол жеткізуіне ықпал етеді.</w:t>
      </w:r>
    </w:p>
    <w:p>
      <w:r>
        <w:t>Институционалдық бағыттағы маңызды ұсыныс — «реттеуші гильотина» қағидатын жүйелі қолдану арқылы артық әкімшілік кедергілерді жою және кәсіпкерлердің құқықтарын қорғаудың бірыңғай цифрлық жүйесін құру. Бұл шаралар бизнес-ахуалды жақсартады. Сондай-ақ мемлекеттік органдар қызметінің ашықтығын арттырады.</w:t>
      </w:r>
    </w:p>
    <w:p>
      <w:r>
        <w:t>Ақпараттық қолжетімділікті арттыру мақсатында барлық мемлекеттік қолдау шараларын, заңнамалық талаптарды, оқыту материалдары мен құқықтық көмекті біріктіретін бірыңғай цифрлық платформа құру ұсынылды, ол кәсіпкерлер үшін «бір терезе» қағидатымен жұмыс істеп, бюрократияны азайтып, мемлекеттік қолдаудың тиімділігі мен атаулылығын арттырады. Бұл — тиімділікті арттырудың нақты жолы.</w:t>
      </w:r>
    </w:p>
    <w:p>
      <w:r>
        <w:t>Жалпы алғанда, зерттеу маңызды қорытынды жасауға мүмкіндік берді. Қазақстандағы ШОБ-ты мемлекеттік қолдау саясаты сандық өсімге қол жеткізгенімен, сапалық даму үшін жүйелі реформаларды қажет ететінін көрсетті. Ұсынылған шараларды кешенді түрде іске асыру кәсіпкерлік ортаны сапалы жақсартуға, ШОБ-тың экономикадағы орнын нығайтуға және елдің тұрақты экономикалық дамуына елеулі үлес қосады деп тұжырымдауға болады.</w:t>
      </w:r>
    </w:p>
    <w:p>
      <w:r>
        <w:br w:type="page"/>
      </w:r>
    </w:p>
    <w:p>
      <w:pPr>
        <w:pStyle w:val="Heading1"/>
      </w:pPr>
      <w:r>
        <w:t>ПАЙДАЛАНЫЛҒАН ӘДЕБИЕТТЕР ТІЗІМІ</w:t>
      </w:r>
    </w:p>
    <w:p>
      <w:pPr>
        <w:ind w:left="709" w:hanging="709"/>
      </w:pPr>
      <w:r>
        <w:t xml:space="preserve">1 Малый и средний бизнес Казахстана: перспективы и вызовы. – 2025. – [Электронный ресурс]. URL: </w:t>
      </w:r>
      <w:hyperlink r:id="rId11">
        <w:r>
          <w:rPr>
            <w:color w:val="0563C1"/>
            <w:u w:val="single"/>
          </w:rPr>
          <w:t xml:space="preserve">https://halykfinance.kz/download/files/analytics/MSB_.pdf</w:t>
        </w:r>
      </w:hyperlink>
      <w:r>
        <w:t xml:space="preserve"> (дата обращения: 17.09.2026).</w:t>
      </w:r>
    </w:p>
    <w:p>
      <w:pPr>
        <w:ind w:left="709" w:hanging="709"/>
      </w:pPr>
      <w:r>
        <w:t xml:space="preserve">2 Сыздықова, А.О. ШАҒЫН ЖӘНЕ ОРТА БИЗНЕСТІ ҚОЛДАУДЫҢ ШЕТЕЛДІК ТӘЖІРИБЕСІ. – 2024. – Т. 3, №64. – Б. 72-81. – ISSN 2072-9847. – DOI: </w:t>
      </w:r>
      <w:hyperlink r:id="rId12">
        <w:r>
          <w:rPr>
            <w:color w:val="0563C1"/>
            <w:u w:val="single"/>
          </w:rPr>
          <w:t xml:space="preserve">https://doi.org/10.55871/2072-9847-2024-64-3-72-81</w:t>
        </w:r>
      </w:hyperlink>
      <w:r>
        <w:t>.</w:t>
      </w:r>
      <w:r>
        <w:t xml:space="preserve"> – [Электрондық ресурс]. URL: </w:t>
      </w:r>
      <w:hyperlink r:id="rId13">
        <w:r>
          <w:rPr>
            <w:color w:val="0563C1"/>
            <w:u w:val="single"/>
          </w:rPr>
          <w:t xml:space="preserve">https://gov-audit.kz/index.php/ma/article/view/282/202</w:t>
        </w:r>
      </w:hyperlink>
      <w:r>
        <w:t xml:space="preserve"> (қаралған күні: 17.09.2026).</w:t>
      </w:r>
    </w:p>
    <w:p>
      <w:pPr>
        <w:ind w:left="709" w:hanging="709"/>
      </w:pPr>
      <w:r>
        <w:t xml:space="preserve">3 Сейтжанов, С.С. ГОСУДАРСТВЕННАЯ ПОДДЕРЖКА БИЗНЕСА В КАЗАХСТАНЕ // Научные стремления. – n.d. – №17. – С. 104-107. – [Электронный ресурс]. URL: </w:t>
      </w:r>
      <w:hyperlink r:id="rId14">
        <w:r>
          <w:rPr>
            <w:color w:val="0563C1"/>
            <w:u w:val="single"/>
          </w:rPr>
          <w:t xml:space="preserve">https://cyberleninka.ru/article/n/gosudarstvennaya-podderzhka-biznesa-v-kazahstane.pdf</w:t>
        </w:r>
      </w:hyperlink>
      <w:r>
        <w:t xml:space="preserve"> (дата обращения: 17.09.2026).</w:t>
      </w:r>
    </w:p>
    <w:p>
      <w:pPr>
        <w:ind w:left="709" w:hanging="709"/>
      </w:pPr>
      <w:r>
        <w:t xml:space="preserve">4 Тиштыкбаева, А.Ж., Махмут, І.А., Нурмағанбет, А.Н. Қаржы-несие секторының шағын және орта бизнесті дамытудағы цифрландыру бағыттары. – Қарағанды Бөкетов университеті, 2024. – Б. 254-257. – [Электрондық ресурс]. URL: </w:t>
      </w:r>
      <w:hyperlink r:id="rId15">
        <w:r>
          <w:rPr>
            <w:color w:val="0563C1"/>
            <w:u w:val="single"/>
          </w:rPr>
          <w:t xml:space="preserve">https://rep.buketov.edu.kz/bitstreams/73819e7f-7cbe-48dc-bdb9-cd2cd5e71b932a/download</w:t>
        </w:r>
      </w:hyperlink>
      <w:r>
        <w:t xml:space="preserve"> (қаралған күні: 17.09.2026).</w:t>
      </w:r>
    </w:p>
    <w:p>
      <w:pPr>
        <w:ind w:left="709" w:hanging="709"/>
      </w:pPr>
      <w:r>
        <w:t xml:space="preserve">5 Исенова, А.С. Совершенствование государственной политики в сфере поддержки предпринимательства в условиях неопределенности. – Академия государственного управления при Президенте Республики Казахстан, 2022. – [Электронный ресурс]. URL: </w:t>
      </w:r>
      <w:hyperlink r:id="rId16">
        <w:r>
          <w:rPr>
            <w:color w:val="0563C1"/>
            <w:u w:val="single"/>
          </w:rPr>
          <w:t xml:space="preserve">https://repository.apa.kz/bitstream/handle/123456789/1056/Исенова</w:t>
        </w:r>
      </w:hyperlink>
      <w:r>
        <w:t xml:space="preserve"> А. диссертация.pdf?sequence=1&amp;isAllowed=y (дата обращения: 17.09.2026).</w:t>
      </w:r>
    </w:p>
    <w:p>
      <w:pPr>
        <w:ind w:left="709" w:hanging="709"/>
      </w:pPr>
      <w:r>
        <w:t xml:space="preserve">6 Тулегенова, К.Т., Бержанова, А.М., Тансыкбаева, Г.О., Байгиреева, Ж.З. ҚАЗАҚСТАН РЕСПУБЛИКАСЫНДАҒЫ ЭКСПОРТТЫ МЕМЛЕКЕТТІК ҚОЛДАУ ТЕТІКТЕРІ ЖӘНЕ ОЛАРДЫ ЖЕТІЛДІРУ БАҒЫТТАРЫ // Қазақ экономика, қаржы және халықаралық сауда университетінің ЖАРШЫСЫ. – 2026. – Т. 2, №63. – Б. 200-203. – ISSN 2304-7216. – DOI: </w:t>
      </w:r>
      <w:hyperlink r:id="rId17">
        <w:r>
          <w:rPr>
            <w:color w:val="0563C1"/>
            <w:u w:val="single"/>
          </w:rPr>
          <w:t xml:space="preserve">https://doi.org/10.52260/2304-7216.2026.2(63).23</w:t>
        </w:r>
      </w:hyperlink>
      <w:r>
        <w:t>.</w:t>
      </w:r>
      <w:r>
        <w:t xml:space="preserve"> – [Электрондық ресурс]. URL: </w:t>
      </w:r>
      <w:hyperlink r:id="rId18">
        <w:r>
          <w:rPr>
            <w:color w:val="0563C1"/>
            <w:u w:val="single"/>
          </w:rPr>
          <w:t xml:space="preserve">http://vestnik.kuef.kz/web/uploads/file-vestnik/78f6cfaff6b82f8a3cf66390bee80233.pdf</w:t>
        </w:r>
      </w:hyperlink>
      <w:r>
        <w:t xml:space="preserve"> (қаралған күні: 17.09.2026).</w:t>
      </w:r>
    </w:p>
    <w:p>
      <w:pPr>
        <w:ind w:left="709" w:hanging="709"/>
      </w:pPr>
      <w:r>
        <w:t xml:space="preserve">7 Diversifying Kazakhstan Exports. – OECD Publishing, 2024. – ISBN 9789264473980. – DOI: </w:t>
      </w:r>
      <w:hyperlink r:id="rId19">
        <w:r>
          <w:rPr>
            <w:color w:val="0563C1"/>
            <w:u w:val="single"/>
          </w:rPr>
          <w:t xml:space="preserve">https://doi.org/10.1787/7f9cd8aa-en</w:t>
        </w:r>
      </w:hyperlink>
      <w:r>
        <w:t>.</w:t>
      </w:r>
      <w:r>
        <w:t xml:space="preserve"> – [Electronic resource]. URL: </w:t>
      </w:r>
      <w:hyperlink r:id="rId20">
        <w:r>
          <w:rPr>
            <w:color w:val="0563C1"/>
            <w:u w:val="single"/>
          </w:rPr>
          <w:t xml:space="preserve">https://www.oecd.org/content/dam/oecd/en/publications/reports/2024/06/diversifying-kazakhstan-s-exports_6db7322e/7f9cd8aa-en.pdf</w:t>
        </w:r>
      </w:hyperlink>
      <w:r>
        <w:t xml:space="preserve"> (17.09.2026).</w:t>
      </w:r>
    </w:p>
    <w:p>
      <w:pPr>
        <w:ind w:left="709" w:hanging="709"/>
      </w:pPr>
      <w:r>
        <w:t xml:space="preserve">8 Правительство Республики Казахстан. Об утверждении Государственной программы поддержки и развития бизнеса "Дорожная карта бизнеса-2025". – Правительство Республики Казахстан, 2019. – [Электронный ресурс]. URL: </w:t>
      </w:r>
      <w:hyperlink r:id="rId21">
        <w:r>
          <w:rPr>
            <w:color w:val="0563C1"/>
            <w:u w:val="single"/>
          </w:rPr>
          <w:t xml:space="preserve">https://baiterek.gov.kz/sites/default/files/2020-02/p1900000968.24-12-2019.rus_.pdf</w:t>
        </w:r>
      </w:hyperlink>
      <w:r>
        <w:t xml:space="preserve"> (дата обращения: 17.09.2026).</w:t>
      </w:r>
    </w:p>
    <w:p>
      <w:pPr>
        <w:ind w:left="709" w:hanging="709"/>
      </w:pPr>
      <w:r>
        <w:t xml:space="preserve">9 Туребекова, Б.О., Сапарбаева, С.С. ПОЛИТИКА РАЗВИТИЯ МАЛОГО И СРЕДНЕГО БИЗНЕСА В КАЗАХСТАНЕ // Институты социально-экономического развития: актуальная практика и теория. – 2019. – С. 99-102. – [Электронный ресурс]. URL: </w:t>
      </w:r>
      <w:hyperlink r:id="rId22">
        <w:r>
          <w:rPr>
            <w:color w:val="0563C1"/>
            <w:u w:val="single"/>
          </w:rPr>
          <w:t xml:space="preserve">https://elib.bsu.by/bitstream/123456789/243200/1/99-102.pdf</w:t>
        </w:r>
      </w:hyperlink>
      <w:r>
        <w:t xml:space="preserve"> (дата обращения: 17.09.2026).</w:t>
      </w:r>
    </w:p>
    <w:p>
      <w:pPr>
        <w:ind w:left="709" w:hanging="709"/>
      </w:pPr>
      <w:r>
        <w:t xml:space="preserve">10 БОДАУБЕК, М.Н. ЖЕРГІЛІКТІ АТҚАРУШЫ ОРГАНДАР МЕН БИЗНЕС-ҚҰРЫЛЫМДАРДЫҢ ӨЗАРА ІС-ҚИМЫЛЫН ЖЕТІЛДІРУ (ЖАМБЫЛ ОБЛЫСЫ МОЙЫНҚҰМ АУДАНЫНЫҢ МЫСАЛЫНДА). – ҚАЗАҚСТАН РЕСПУБЛИКАСЫ ПРЕЗИДЕНТІНІҢ ЖАНЫНДАҒЫ МЕМЛЕКЕТТІК БАСҚАРУ АКАДЕМИЯСЫ, 2024. – [Электрондық ресурс]. URL: </w:t>
      </w:r>
      <w:hyperlink r:id="rId23">
        <w:r>
          <w:rPr>
            <w:color w:val="0563C1"/>
            <w:u w:val="single"/>
          </w:rPr>
          <w:t xml:space="preserve">https://repository.apa.kz/bitstream/handle/123456789/1563/Жандос</w:t>
        </w:r>
      </w:hyperlink>
      <w:r>
        <w:t xml:space="preserve"> Тоялиев 21.11 (1).pdf?sequence=1&amp;isAllowed=y (қаралған күні: 17.09.2026).</w:t>
      </w:r>
    </w:p>
    <w:p>
      <w:pPr>
        <w:ind w:left="709" w:hanging="709"/>
      </w:pPr>
      <w:r>
        <w:t xml:space="preserve">11 Амерханова, А.Х., Имангалиева, И.Т., Султанов, А.Т., Бакпаева, А.К. ҚАЗАҚСТАНДАҒЫ ШАҒЫН ЖӘНЕ ОРТА КӘСІПКЕРЛЕРГЕ МЕМЛЕКЕТТІК ҚОЛДАУ // Вестник Торайгыров университета. Экономическая серия. – 2022. – №2. – Б. 27-28. – ISSN 2710-3552. – DOI: </w:t>
      </w:r>
      <w:hyperlink r:id="rId24">
        <w:r>
          <w:rPr>
            <w:color w:val="0563C1"/>
            <w:u w:val="single"/>
          </w:rPr>
          <w:t xml:space="preserve">https://doi.org/10.48081/XOYT2207</w:t>
        </w:r>
      </w:hyperlink>
      <w:r>
        <w:t>.</w:t>
      </w:r>
      <w:r>
        <w:t xml:space="preserve"> – [Электрондық ресурс]. URL: </w:t>
      </w:r>
      <w:hyperlink r:id="rId25">
        <w:r>
          <w:rPr>
            <w:color w:val="0563C1"/>
            <w:u w:val="single"/>
          </w:rPr>
          <w:t xml:space="preserve">https://vestnik-economic.tou.edu.kz/storage/articles/ade53b2579eadf315696edc9c8b8ce0f/А._Х._Амерханова,_И._Т._Имангалиева.pdf</w:t>
        </w:r>
      </w:hyperlink>
      <w:r>
        <w:t xml:space="preserve"> (қаралған күні: 17.09.2026).</w:t>
      </w:r>
    </w:p>
    <w:p>
      <w:pPr>
        <w:ind w:left="709" w:hanging="709"/>
      </w:pPr>
      <w:r>
        <w:t xml:space="preserve">12 Yang, H.B. Development and Performance of Korean Policies for SMEs by Economic Development Stage. – KIET, Research Fellow, 2009. – [Electronic resource]. URL: </w:t>
      </w:r>
      <w:hyperlink r:id="rId26">
        <w:r>
          <w:rPr>
            <w:color w:val="0563C1"/>
            <w:u w:val="single"/>
          </w:rPr>
          <w:t xml:space="preserve">https://www.apec.org/docs/default-source/Publications/2009/9/Effective-Implementation-and-Assessment-of-SME-Innovation-Policy-September-2009/TOC/Session-VI-Korean-SME-Policy.pdf</w:t>
        </w:r>
      </w:hyperlink>
      <w:r>
        <w:t xml:space="preserve"> (17.09.2026).</w:t>
      </w:r>
    </w:p>
    <w:p>
      <w:pPr>
        <w:ind w:left="709" w:hanging="709"/>
      </w:pPr>
      <w:r>
        <w:t xml:space="preserve">13 Абилов, С.К. АҚТӨБЕ ОБЛЫСЫ ӘЙТЕКЕ БИ АУДАНЫ МЫСАЛЫНДА ШАҒЫН ЖӘНЕ ОРТА КӘСІПКЕРЛІКТІ ДАМЫТУ МҮМКІНДІКТЕРІ. – ҚАЗАҚСТАН РЕСПУБЛИКАСЫ ПРЕЗИДЕНТІ ЖАНЫНДАҒЫ МЕМЛЕКЕТТІК БАСҚАРУ АКАДЕМИЯСЫ, 2022. – [Электрондық ресурс]. URL: </w:t>
      </w:r>
      <w:hyperlink r:id="rId27">
        <w:r>
          <w:rPr>
            <w:color w:val="0563C1"/>
            <w:u w:val="single"/>
          </w:rPr>
          <w:t xml:space="preserve">https://repository.apa.kz/xmlui/bitstream/handle/123456789/967/Абилов</w:t>
        </w:r>
      </w:hyperlink>
      <w:r>
        <w:t xml:space="preserve"> Саламат.pdf?sequence=3&amp;isAllowed=y (қаралған күні: 17.09.2026).</w:t>
      </w:r>
    </w:p>
    <w:p>
      <w:pPr>
        <w:ind w:left="709" w:hanging="709"/>
      </w:pPr>
      <w:r>
        <w:t xml:space="preserve">14 Аграрлық несие корпорациясы. Жылдық есеп 2024. – Аграрлық несие корпорациясы, 2024. – [Электрондық ресурс]. URL: </w:t>
      </w:r>
      <w:hyperlink r:id="rId28">
        <w:r>
          <w:rPr>
            <w:color w:val="0563C1"/>
            <w:u w:val="single"/>
          </w:rPr>
          <w:t xml:space="preserve">https://agrocredit.kz/upload/iblock/e5c/4cci6b1miij7jiakpwh69til8btxuh76.pdf</w:t>
        </w:r>
      </w:hyperlink>
      <w:r>
        <w:t xml:space="preserve"> (қаралған күні: 17.09.2026).</w:t>
      </w:r>
    </w:p>
    <w:p>
      <w:pPr>
        <w:ind w:left="709" w:hanging="709"/>
      </w:pPr>
      <w:r>
        <w:t xml:space="preserve">15 Бокишев, С.Ж. Современные технологии во взаимодействий между государством и бизнесом. – АКАДЕМИЯ ГОСУДАРСТВЕННОГО УПРАВЛЕНИЯ ПРИ ПРЕЗИДЕНТЕ РЕСПУБЛИКИ КАЗАХСТАН, 2022. – [Электронный ресурс]. URL: </w:t>
      </w:r>
      <w:hyperlink r:id="rId29">
        <w:r>
          <w:rPr>
            <w:color w:val="0563C1"/>
            <w:u w:val="single"/>
          </w:rPr>
          <w:t xml:space="preserve">https://repository.apa.kz/bitstream/handle/123456789/1033/Бокишев</w:t>
        </w:r>
      </w:hyperlink>
      <w:r>
        <w:t xml:space="preserve"> Саят Жомартович.pdf?sequence=1&amp;isAllowed=y (дата обращения: 17.09.2026).</w:t>
      </w:r>
    </w:p>
    <w:p>
      <w:pPr>
        <w:ind w:left="709" w:hanging="709"/>
      </w:pPr>
      <w:r>
        <w:t xml:space="preserve">16 ЖАКСЫЛЫКОВА, А.А. ПРОБЛЕМЫ В РАЗВИТИИ МАЛОГО И СРЕДНЕГО БИЗНЕСА КАЗАХСТАНА И ПУТИ ИХ РЕШЕНИЯ. – n.d. – С. 155-158. – [Электронный ресурс]. URL: </w:t>
      </w:r>
      <w:hyperlink r:id="rId30">
        <w:r>
          <w:rPr>
            <w:color w:val="0563C1"/>
            <w:u w:val="single"/>
          </w:rPr>
          <w:t xml:space="preserve">https://vestnik.turan-edu.kz/jour/article/download/672/622</w:t>
        </w:r>
      </w:hyperlink>
      <w:r>
        <w:t xml:space="preserve"> (дата обращения: 17.09.2026).</w:t>
      </w:r>
    </w:p>
    <w:p>
      <w:pPr>
        <w:ind w:left="709" w:hanging="709"/>
      </w:pPr>
      <w:r>
        <w:t xml:space="preserve">17 Иванов, В.В., Штурбабина, Ю.С. Международные программы поддержки малого и среднего бизнеса // Российский внешнеэкономический вестник. – 2014. – Т. 10. – С. 21-24. – [Электронный ресурс]. URL: </w:t>
      </w:r>
      <w:hyperlink r:id="rId31">
        <w:r>
          <w:rPr>
            <w:color w:val="0563C1"/>
            <w:u w:val="single"/>
          </w:rPr>
          <w:t xml:space="preserve">https://journal.vavt.ru/rfej/article/download/1048/970/1972</w:t>
        </w:r>
      </w:hyperlink>
      <w:r>
        <w:t xml:space="preserve"> (дата обращения: 17.09.2026).</w:t>
      </w:r>
    </w:p>
    <w:p>
      <w:pPr>
        <w:ind w:left="709" w:hanging="709"/>
      </w:pPr>
      <w:r>
        <w:t xml:space="preserve">18 Иманбай, И.Ә., Каленова, С.А., Оразалинова, М.Н. Қазақстанның шағын және орта бизнесі дамуының тиімділігін бағалау әдістемесі // Вестник университета «Туран». – 2021. – Т. 2, №90. – Б. 105-113. – ISSN 1562-2959. – DOI: </w:t>
      </w:r>
      <w:hyperlink r:id="rId32">
        <w:r>
          <w:rPr>
            <w:color w:val="0563C1"/>
            <w:u w:val="single"/>
          </w:rPr>
          <w:t xml:space="preserve">https://doi.org/10.46914/1562-2959-2021-1-2-105-113</w:t>
        </w:r>
      </w:hyperlink>
      <w:r>
        <w:t>.</w:t>
      </w:r>
      <w:r>
        <w:t xml:space="preserve"> – [Электрондық ресурс]. URL: </w:t>
      </w:r>
      <w:hyperlink r:id="rId33">
        <w:r>
          <w:rPr>
            <w:color w:val="0563C1"/>
            <w:u w:val="single"/>
          </w:rPr>
          <w:t xml:space="preserve">https://artefacts-discovery.researcher.life/full_text/DA-2/8b/8b11876ab8bb36e1a38f741ea6b9a02a/full_text/35d8e0dfbab4a6c53d3e02333e89203a.pdf</w:t>
        </w:r>
      </w:hyperlink>
      <w:r>
        <w:t xml:space="preserve"> (қаралған күні: 17.09.2026).</w:t>
      </w:r>
    </w:p>
    <w:p>
      <w:pPr>
        <w:ind w:left="709" w:hanging="709"/>
      </w:pPr>
      <w:r>
        <w:t xml:space="preserve">19 Қазақстан Республикасы Үкіметі. Қазақстан Республикасы Үкіметінің кейбір шешімдеріне енгізілетін өзгерістер мен толықтыруларға 7-қосымша «Бизнестің жол картасы-2025» бизнесті қолдау мен дамытудың мемлекеттік бағдарламасы шеңберінде ислам банктері кәсіпкерлік субъектілерін қаржыландырған кезде ислам банктерінің кірісін құрайтын тауардың үстеме бағасының бір бөлігін және жалдау төлемінің бір бөлігін субсидиялау қағидаларына 1-қосымша. – Қазақстан Республикасы Үкіметі, 2025. – [Электрондық ресурс]. URL: </w:t>
      </w:r>
      <w:hyperlink r:id="rId34">
        <w:r>
          <w:rPr>
            <w:color w:val="0563C1"/>
            <w:u w:val="single"/>
          </w:rPr>
          <w:t xml:space="preserve">https://primeminister.kz/assets/media/pi-45623-prilozhenie-7-kaz.pdf</w:t>
        </w:r>
      </w:hyperlink>
      <w:r>
        <w:t xml:space="preserve"> (қаралған күні: 17.09.2026).</w:t>
      </w:r>
    </w:p>
    <w:p>
      <w:pPr>
        <w:ind w:left="709" w:hanging="709"/>
      </w:pPr>
      <w:r>
        <w:t xml:space="preserve">20 Қазақстан Республикасының Үкіметі. "Бизнестің жол картасы-2025" бизнесті қолдау мен дамытудың мемлекеттік бағдарламасын бекіту туралы. – Қазақстан Республикасының Үкіметі, 2019. – [Электрондық ресурс]. URL: </w:t>
      </w:r>
      <w:hyperlink r:id="rId35">
        <w:r>
          <w:rPr>
            <w:color w:val="0563C1"/>
            <w:u w:val="single"/>
          </w:rPr>
          <w:t xml:space="preserve">https://baiterek.gov.kz/sites/default/files/2020-02/p1900000968.24-12-2019.kaz_.pdf</w:t>
        </w:r>
      </w:hyperlink>
      <w:r>
        <w:t xml:space="preserve"> (қаралған күні: 17.09.2026).</w:t>
      </w:r>
    </w:p>
    <w:p>
      <w:pPr>
        <w:ind w:left="709" w:hanging="709"/>
      </w:pPr>
      <w:r>
        <w:t xml:space="preserve">21 Құрманалина, А.Қ., Қалкабаева, Г.М., Искакова, З.Д., Тян, О.А. Қазақстан Республикасындағы экономиканың нақты секторы және ШОБ субъектілері үшін банктік несиелердің қолжетімділігін бағалау // Вестник Карагандинского университета. – 2023. – №4(112). – Б. 175-184. – DOI: </w:t>
      </w:r>
      <w:hyperlink r:id="rId36">
        <w:r>
          <w:rPr>
            <w:color w:val="0563C1"/>
            <w:u w:val="single"/>
          </w:rPr>
          <w:t xml:space="preserve">https://doi.org/10.31489/2023Ec4/175-184</w:t>
        </w:r>
      </w:hyperlink>
      <w:r>
        <w:t>.</w:t>
      </w:r>
      <w:r>
        <w:t xml:space="preserve"> – [Электрондық ресурс]. URL: </w:t>
      </w:r>
      <w:hyperlink r:id="rId37">
        <w:r>
          <w:rPr>
            <w:color w:val="0563C1"/>
            <w:u w:val="single"/>
          </w:rPr>
          <w:t xml:space="preserve">https://bbr.buketov.edu.kz/economy-vestnik/article/download/663/595/1157</w:t>
        </w:r>
      </w:hyperlink>
      <w:r>
        <w:t xml:space="preserve"> (қаралған күні: 17.09.2026).</w:t>
      </w:r>
    </w:p>
    <w:p>
      <w:pPr>
        <w:ind w:left="709" w:hanging="709"/>
      </w:pPr>
      <w:r>
        <w:t xml:space="preserve">22 Өтешова, А.Қ. Шағын кәсіпкерлікті (бизнесті) дамытудың басым бағыттары мен даму көрсеткіштері // kaznu Bulletin. Economics series. – 2013. – №6 (100). – Б. 277-280. – ISSN 1563-0358. – [Электрондық ресурс]. URL: </w:t>
      </w:r>
      <w:hyperlink r:id="rId38">
        <w:r>
          <w:rPr>
            <w:color w:val="0563C1"/>
            <w:u w:val="single"/>
          </w:rPr>
          <w:t xml:space="preserve">https://be.kaznu.kz/index.php/math/article/download/573/553/1157</w:t>
        </w:r>
      </w:hyperlink>
      <w:r>
        <w:t xml:space="preserve"> (қаралған күні: 17.09.2026).</w:t>
      </w:r>
    </w:p>
    <w:p>
      <w:pPr>
        <w:ind w:left="709" w:hanging="709"/>
      </w:pPr>
      <w:r>
        <w:t xml:space="preserve">23 Правительство Республики Казахстан. Государственная программа "Цифровой Казахстан". – Правительство Республики Казахстан, 2017. – [Электронный ресурс]. URL: </w:t>
      </w:r>
      <w:hyperlink r:id="rId39">
        <w:r>
          <w:rPr>
            <w:color w:val="0563C1"/>
            <w:u w:val="single"/>
          </w:rPr>
          <w:t xml:space="preserve">https://primeminister.kz/assets/media/p170000082729-07-2019rus.pdf</w:t>
        </w:r>
      </w:hyperlink>
      <w:r>
        <w:t xml:space="preserve"> (дата обращения: 17.09.2026).</w:t>
      </w:r>
    </w:p>
    <w:p>
      <w:pPr>
        <w:ind w:left="709" w:hanging="709"/>
      </w:pPr>
      <w:r>
        <w:t xml:space="preserve">24 Правительство Республики Казахстан. Об утверждении Экономической политики на среднесрочный период. – Правительство Республики Казахстан, 2023. – [Электронный ресурс]. URL: </w:t>
      </w:r>
      <w:hyperlink r:id="rId40">
        <w:r>
          <w:rPr>
            <w:color w:val="0563C1"/>
            <w:u w:val="single"/>
          </w:rPr>
          <w:t xml:space="preserve">https://faolex.fao.org/docs/pdf/kaz220820.pdf</w:t>
        </w:r>
      </w:hyperlink>
      <w:r>
        <w:t xml:space="preserve"> (дата обращения: 17.09.2026).</w:t>
      </w:r>
    </w:p>
    <w:p>
      <w:pPr>
        <w:ind w:left="709" w:hanging="709"/>
      </w:pPr>
      <w:r>
        <w:t xml:space="preserve">25 Урузбаева, Н.А. Оценка вклада МСП в выпуск продукции городов республиканского значения Казахстана // Экономика региона. – 2022. – Т. 18, №3. – С. 867-881. – DOI: </w:t>
      </w:r>
      <w:hyperlink r:id="rId41">
        <w:r>
          <w:rPr>
            <w:color w:val="0563C1"/>
            <w:u w:val="single"/>
          </w:rPr>
          <w:t xml:space="preserve">https://doi.org/10.17059/ekon.reg.2022-3-17</w:t>
        </w:r>
      </w:hyperlink>
      <w:r>
        <w:t>.</w:t>
      </w:r>
      <w:r>
        <w:t xml:space="preserve"> – [Электронный ресурс]. URL: </w:t>
      </w:r>
      <w:hyperlink r:id="rId42">
        <w:r>
          <w:rPr>
            <w:color w:val="0563C1"/>
            <w:u w:val="single"/>
          </w:rPr>
          <w:t xml:space="preserve">https://elar.urfu.ru/bitstream/10995/128006/1/2022_18_3_019.pdf</w:t>
        </w:r>
      </w:hyperlink>
      <w:r>
        <w:t xml:space="preserve"> (дата обращения: 17.09.2026).</w:t>
      </w:r>
    </w:p>
    <w:p>
      <w:pPr>
        <w:ind w:left="709" w:hanging="709"/>
      </w:pPr>
      <w:r>
        <w:t xml:space="preserve">26 Үсенбаев, Т.М., Алина, Г.Б., Джумабекова, А.Т., Тойжигитова, Ж.А., Есенгельдинова, С.Ж. Қазақстан Республикасындағы шағын жəне орта бизнестің даму ерекшеліктері // Вестник Карагандинского университета. – 2019. – №4(96). – Б. 298-301. – [Электрондық ресурс]. URL: </w:t>
      </w:r>
      <w:hyperlink r:id="rId43">
        <w:r>
          <w:rPr>
            <w:color w:val="0563C1"/>
            <w:u w:val="single"/>
          </w:rPr>
          <w:t xml:space="preserve">https://bbr.buketov.edu.kz/economy-vestnik/article/download/463/413/806</w:t>
        </w:r>
      </w:hyperlink>
      <w:r>
        <w:t xml:space="preserve"> (қаралған күні: 17.09.2026).</w:t>
      </w:r>
    </w:p>
    <w:p>
      <w:pPr>
        <w:ind w:left="709" w:hanging="709"/>
      </w:pPr>
      <w:r>
        <w:t xml:space="preserve">27 «ˉʰˇˀОʦОʱ Кʤʯʤˈˁ. – 2018. – [Электронный ресурс]. URL: </w:t>
      </w:r>
      <w:hyperlink r:id="rId44">
        <w:r>
          <w:rPr>
            <w:color w:val="0563C1"/>
            <w:u w:val="single"/>
          </w:rPr>
          <w:t xml:space="preserve">http://new.groteck.ru/images/catalog/72354/6877091c66d0eb91168a21cf2d71f8e5.pdf</w:t>
        </w:r>
      </w:hyperlink>
      <w:r>
        <w:t xml:space="preserve"> (дата обращения: 17.09.2026).</w:t>
      </w:r>
    </w:p>
    <w:p>
      <w:pPr>
        <w:ind w:left="709" w:hanging="709"/>
      </w:pPr>
      <w:r>
        <w:t xml:space="preserve">28 OECD SME and Entrepreneurship Outlook 2019. – OECD SME and Entrepreneurship Outlook, 2019. – ISBN 9789264358829. – ISSN 2959-9490. – DOI: </w:t>
      </w:r>
      <w:hyperlink r:id="rId45">
        <w:r>
          <w:rPr>
            <w:color w:val="0563C1"/>
            <w:u w:val="single"/>
          </w:rPr>
          <w:t xml:space="preserve">https://doi.org/10.1787/34907e9c-en</w:t>
        </w:r>
      </w:hyperlink>
      <w:r>
        <w:t>.</w:t>
      </w:r>
      <w:r>
        <w:t xml:space="preserve"> – [Electronic resource]. URL: </w:t>
      </w:r>
      <w:hyperlink r:id="rId46">
        <w:r>
          <w:rPr>
            <w:color w:val="0563C1"/>
            <w:u w:val="single"/>
          </w:rPr>
          <w:t xml:space="preserve">https://www.oecd.org/content/dam/oecd/en/publications/reports/2019/05/oecd-sme-and-entrepreneurship-outlook-2019_7083aa23/34907e9c-en.pdf</w:t>
        </w:r>
      </w:hyperlink>
      <w:r>
        <w:t xml:space="preserve"> (17.09.2026).</w:t>
      </w:r>
    </w:p>
    <w:p>
      <w:pPr>
        <w:ind w:left="709" w:hanging="709"/>
      </w:pPr>
      <w:r>
        <w:t xml:space="preserve">29 Kazakhstan Policy responses. – 2021. – [Electronic resource]. URL: </w:t>
      </w:r>
      <w:hyperlink r:id="rId47">
        <w:r>
          <w:rPr>
            <w:color w:val="0563C1"/>
            <w:u w:val="single"/>
          </w:rPr>
          <w:t xml:space="preserve">https://www.unescap.org/sites/default/d8files/2021-03/Kazakhstan_COVID</w:t>
        </w:r>
      </w:hyperlink>
      <w:r>
        <w:t xml:space="preserve"> Country profile 230321.pdf (17.09.2026).</w:t>
      </w:r>
    </w:p>
    <w:sectPr w:rsidR="00FC693F" w:rsidRPr="0006063C" w:rsidSect="00034616">
      <w:footerReference w:type="default" r:id="rId48"/>
      <w:pgSz w:w="11906" w:h="16838"/>
      <w:pgMar w:top="1134" w:right="56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Times New Roman" w:hAnsi="Times New Roman" w:eastAsia="Times New Roman" w:cs="Times New Roman"/>
      <w:sz w:val="28"/>
      <w:lang w:val="kk-KZ" w:bidi="kk-KZ"/>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638" w:val="right" w:leader="dot"/>
      </w:tabs>
      <w:spacing w:after="80" w:before="40"/>
      <w:ind w:left="0" w:firstLine="0"/>
    </w:pPr>
    <w:rPr>
      <w:rFonts w:ascii="Times New Roman" w:hAnsi="Times New Roman"/>
      <w:b w:val="0"/>
      <w:sz w:val="28"/>
    </w:rPr>
  </w:style>
  <w:style w:type="paragraph" w:customStyle="1" w:styleId="TOC2">
    <w:name w:val="TOC 2"/>
    <w:pPr>
      <w:tabs>
        <w:tab w:pos="9071" w:val="right" w:leader="dot"/>
      </w:tabs>
      <w:spacing w:after="80" w:before="0"/>
      <w:ind w:left="567" w:firstLine="0"/>
    </w:pPr>
    <w:rPr>
      <w:rFonts w:ascii="Times New Roman" w:hAnsi="Times New Roman"/>
      <w:b w:val="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halykfinance.kz/download/files/analytics/MSB_.pdf" TargetMode="External"/><Relationship Id="rId12" Type="http://schemas.openxmlformats.org/officeDocument/2006/relationships/hyperlink" Target="https://doi.org/10.55871/2072-9847-2024-64-3-72-81" TargetMode="External"/><Relationship Id="rId13" Type="http://schemas.openxmlformats.org/officeDocument/2006/relationships/hyperlink" Target="https://gov-audit.kz/index.php/ma/article/view/282/202" TargetMode="External"/><Relationship Id="rId14" Type="http://schemas.openxmlformats.org/officeDocument/2006/relationships/hyperlink" Target="https://cyberleninka.ru/article/n/gosudarstvennaya-podderzhka-biznesa-v-kazahstane.pdf" TargetMode="External"/><Relationship Id="rId15" Type="http://schemas.openxmlformats.org/officeDocument/2006/relationships/hyperlink" Target="https://rep.buketov.edu.kz/bitstreams/73819e7f-7cbe-48dc-bdb9-cd2cd5e71b932a/download" TargetMode="External"/><Relationship Id="rId16" Type="http://schemas.openxmlformats.org/officeDocument/2006/relationships/hyperlink" Target="https://repository.apa.kz/bitstream/handle/123456789/1056/&#1048;&#1089;&#1077;&#1085;&#1086;&#1074;&#1072;" TargetMode="External"/><Relationship Id="rId17" Type="http://schemas.openxmlformats.org/officeDocument/2006/relationships/hyperlink" Target="https://doi.org/10.52260/2304-7216.2026.2(63).23" TargetMode="External"/><Relationship Id="rId18" Type="http://schemas.openxmlformats.org/officeDocument/2006/relationships/hyperlink" Target="http://vestnik.kuef.kz/web/uploads/file-vestnik/78f6cfaff6b82f8a3cf66390bee80233.pdf" TargetMode="External"/><Relationship Id="rId19" Type="http://schemas.openxmlformats.org/officeDocument/2006/relationships/hyperlink" Target="https://doi.org/10.1787/7f9cd8aa-en" TargetMode="External"/><Relationship Id="rId20" Type="http://schemas.openxmlformats.org/officeDocument/2006/relationships/hyperlink" Target="https://www.oecd.org/content/dam/oecd/en/publications/reports/2024/06/diversifying-kazakhstan-s-exports_6db7322e/7f9cd8aa-en.pdf" TargetMode="External"/><Relationship Id="rId21" Type="http://schemas.openxmlformats.org/officeDocument/2006/relationships/hyperlink" Target="https://baiterek.gov.kz/sites/default/files/2020-02/p1900000968.24-12-2019.rus_.pdf" TargetMode="External"/><Relationship Id="rId22" Type="http://schemas.openxmlformats.org/officeDocument/2006/relationships/hyperlink" Target="https://elib.bsu.by/bitstream/123456789/243200/1/99-102.pdf" TargetMode="External"/><Relationship Id="rId23" Type="http://schemas.openxmlformats.org/officeDocument/2006/relationships/hyperlink" Target="https://repository.apa.kz/bitstream/handle/123456789/1563/&#1046;&#1072;&#1085;&#1076;&#1086;&#1089;" TargetMode="External"/><Relationship Id="rId24" Type="http://schemas.openxmlformats.org/officeDocument/2006/relationships/hyperlink" Target="https://doi.org/10.48081/XOYT2207" TargetMode="External"/><Relationship Id="rId25" Type="http://schemas.openxmlformats.org/officeDocument/2006/relationships/hyperlink" Target="https://vestnik-economic.tou.edu.kz/storage/articles/ade53b2579eadf315696edc9c8b8ce0f/&#1040;._&#1061;._&#1040;&#1084;&#1077;&#1088;&#1093;&#1072;&#1085;&#1086;&#1074;&#1072;,_&#1048;._&#1058;._&#1048;&#1084;&#1072;&#1085;&#1075;&#1072;&#1083;&#1080;&#1077;&#1074;&#1072;.pdf" TargetMode="External"/><Relationship Id="rId26" Type="http://schemas.openxmlformats.org/officeDocument/2006/relationships/hyperlink" Target="https://www.apec.org/docs/default-source/Publications/2009/9/Effective-Implementation-and-Assessment-of-SME-Innovation-Policy-September-2009/TOC/Session-VI-Korean-SME-Policy.pdf" TargetMode="External"/><Relationship Id="rId27" Type="http://schemas.openxmlformats.org/officeDocument/2006/relationships/hyperlink" Target="https://repository.apa.kz/xmlui/bitstream/handle/123456789/967/&#1040;&#1073;&#1080;&#1083;&#1086;&#1074;" TargetMode="External"/><Relationship Id="rId28" Type="http://schemas.openxmlformats.org/officeDocument/2006/relationships/hyperlink" Target="https://agrocredit.kz/upload/iblock/e5c/4cci6b1miij7jiakpwh69til8btxuh76.pdf" TargetMode="External"/><Relationship Id="rId29" Type="http://schemas.openxmlformats.org/officeDocument/2006/relationships/hyperlink" Target="https://repository.apa.kz/bitstream/handle/123456789/1033/&#1041;&#1086;&#1082;&#1080;&#1096;&#1077;&#1074;" TargetMode="External"/><Relationship Id="rId30" Type="http://schemas.openxmlformats.org/officeDocument/2006/relationships/hyperlink" Target="https://vestnik.turan-edu.kz/jour/article/download/672/622" TargetMode="External"/><Relationship Id="rId31" Type="http://schemas.openxmlformats.org/officeDocument/2006/relationships/hyperlink" Target="https://journal.vavt.ru/rfej/article/download/1048/970/1972" TargetMode="External"/><Relationship Id="rId32" Type="http://schemas.openxmlformats.org/officeDocument/2006/relationships/hyperlink" Target="https://doi.org/10.46914/1562-2959-2021-1-2-105-113" TargetMode="External"/><Relationship Id="rId33" Type="http://schemas.openxmlformats.org/officeDocument/2006/relationships/hyperlink" Target="https://artefacts-discovery.researcher.life/full_text/DA-2/8b/8b11876ab8bb36e1a38f741ea6b9a02a/full_text/35d8e0dfbab4a6c53d3e02333e89203a.pdf" TargetMode="External"/><Relationship Id="rId34" Type="http://schemas.openxmlformats.org/officeDocument/2006/relationships/hyperlink" Target="https://primeminister.kz/assets/media/pi-45623-prilozhenie-7-kaz.pdf" TargetMode="External"/><Relationship Id="rId35" Type="http://schemas.openxmlformats.org/officeDocument/2006/relationships/hyperlink" Target="https://baiterek.gov.kz/sites/default/files/2020-02/p1900000968.24-12-2019.kaz_.pdf" TargetMode="External"/><Relationship Id="rId36" Type="http://schemas.openxmlformats.org/officeDocument/2006/relationships/hyperlink" Target="https://doi.org/10.31489/2023Ec4/175-184" TargetMode="External"/><Relationship Id="rId37" Type="http://schemas.openxmlformats.org/officeDocument/2006/relationships/hyperlink" Target="https://bbr.buketov.edu.kz/economy-vestnik/article/download/663/595/1157" TargetMode="External"/><Relationship Id="rId38" Type="http://schemas.openxmlformats.org/officeDocument/2006/relationships/hyperlink" Target="https://be.kaznu.kz/index.php/math/article/download/573/553/1157" TargetMode="External"/><Relationship Id="rId39" Type="http://schemas.openxmlformats.org/officeDocument/2006/relationships/hyperlink" Target="https://primeminister.kz/assets/media/p170000082729-07-2019rus.pdf" TargetMode="External"/><Relationship Id="rId40" Type="http://schemas.openxmlformats.org/officeDocument/2006/relationships/hyperlink" Target="https://faolex.fao.org/docs/pdf/kaz220820.pdf" TargetMode="External"/><Relationship Id="rId41" Type="http://schemas.openxmlformats.org/officeDocument/2006/relationships/hyperlink" Target="https://doi.org/10.17059/ekon.reg.2022-3-17" TargetMode="External"/><Relationship Id="rId42" Type="http://schemas.openxmlformats.org/officeDocument/2006/relationships/hyperlink" Target="https://elar.urfu.ru/bitstream/10995/128006/1/2022_18_3_019.pdf" TargetMode="External"/><Relationship Id="rId43" Type="http://schemas.openxmlformats.org/officeDocument/2006/relationships/hyperlink" Target="https://bbr.buketov.edu.kz/economy-vestnik/article/download/463/413/806" TargetMode="External"/><Relationship Id="rId44" Type="http://schemas.openxmlformats.org/officeDocument/2006/relationships/hyperlink" Target="http://new.groteck.ru/images/catalog/72354/6877091c66d0eb91168a21cf2d71f8e5.pdf" TargetMode="External"/><Relationship Id="rId45" Type="http://schemas.openxmlformats.org/officeDocument/2006/relationships/hyperlink" Target="https://doi.org/10.1787/34907e9c-en" TargetMode="External"/><Relationship Id="rId46" Type="http://schemas.openxmlformats.org/officeDocument/2006/relationships/hyperlink" Target="https://www.oecd.org/content/dam/oecd/en/publications/reports/2019/05/oecd-sme-and-entrepreneurship-outlook-2019_7083aa23/34907e9c-en.pdf" TargetMode="External"/><Relationship Id="rId47" Type="http://schemas.openxmlformats.org/officeDocument/2006/relationships/hyperlink" Target="https://www.unescap.org/sites/default/d8files/2021-03/Kazakhstan_COVID"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