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80" w:after="80"/>
        <w:ind w:firstLine="0"/>
        <w:jc w:val="center"/>
      </w:pPr>
    </w:p>
    <w:p>
      <w:pPr>
        <w:spacing w:before="80" w:after="80"/>
        <w:ind w:firstLine="0"/>
        <w:jc w:val="center"/>
      </w:pPr>
    </w:p>
    <w:p>
      <w:pPr>
        <w:spacing w:before="120" w:after="120"/>
        <w:ind w:firstLine="0"/>
        <w:jc w:val="center"/>
      </w:pPr>
    </w:p>
    <w:p>
      <w:pPr>
        <w:spacing w:before="80" w:after="80"/>
        <w:ind w:firstLine="0"/>
        <w:jc w:val="center"/>
      </w:pPr>
    </w:p>
    <w:p>
      <w:pPr>
        <w:spacing w:before="120" w:after="120"/>
        <w:ind w:firstLine="0"/>
        <w:jc w:val="center"/>
      </w:pPr>
    </w:p>
    <w:p>
      <w:pPr>
        <w:spacing w:before="120" w:after="120"/>
        <w:ind w:firstLine="0"/>
        <w:jc w:val="center"/>
      </w:pPr>
    </w:p>
    <w:p>
      <w:pPr>
        <w:spacing w:before="80" w:after="80"/>
        <w:ind w:firstLine="0"/>
        <w:jc w:val="center"/>
      </w:pPr>
      <w:r>
        <w:rPr>
          <w:rFonts w:ascii="Times New Roman" w:hAnsi="Times New Roman"/>
          <w:b/>
          <w:sz w:val="32"/>
        </w:rPr>
        <w:t>Жоғары оқу орындарының оқу үдерісінде цифрлық технологияларды қолдану</w:t>
      </w:r>
    </w:p>
    <w:p>
      <w:pPr>
        <w:spacing w:before="120" w:after="120"/>
        <w:ind w:firstLine="0"/>
        <w:jc w:val="center"/>
      </w:pPr>
    </w:p>
    <w:p>
      <w:pPr>
        <w:spacing w:before="120" w:after="120"/>
        <w:ind w:firstLine="0"/>
        <w:jc w:val="center"/>
      </w:pPr>
    </w:p>
    <w:p>
      <w:pPr>
        <w:spacing w:before="80" w:after="80"/>
        <w:ind w:firstLine="0"/>
        <w:jc w:val="center"/>
      </w:pPr>
    </w:p>
    <w:p>
      <w:pPr>
        <w:spacing w:before="120" w:after="120"/>
        <w:ind w:firstLine="0"/>
        <w:jc w:val="center"/>
      </w:pPr>
    </w:p>
    <w:p>
      <w:pPr>
        <w:spacing w:before="80" w:after="80"/>
        <w:ind w:firstLine="0"/>
        <w:jc w:val="center"/>
      </w:pPr>
    </w:p>
    <w:p>
      <w:pPr>
        <w:spacing w:before="80" w:after="80"/>
        <w:ind w:firstLine="0"/>
        <w:jc w:val="center"/>
      </w:pPr>
    </w:p>
    <w:p>
      <w:pPr>
        <w:spacing w:before="120" w:after="120"/>
        <w:ind w:firstLine="0"/>
        <w:jc w:val="center"/>
      </w:pPr>
    </w:p>
    <w:p>
      <w:pPr>
        <w:spacing w:before="80" w:after="80"/>
        <w:ind w:firstLine="0"/>
        <w:jc w:val="center"/>
      </w:pPr>
      <w:r>
        <w:rPr>
          <w:rFonts w:ascii="Times New Roman" w:hAnsi="Times New Roman"/>
          <w:b w:val="0"/>
          <w:sz w:val="24"/>
        </w:rPr>
        <w:t>Ғылыми жетекші: [Ғылыми дәрежесі, аты-жөні]</w:t>
      </w:r>
    </w:p>
    <w:p>
      <w:pPr>
        <w:spacing w:before="120" w:after="120"/>
        <w:ind w:firstLine="0"/>
        <w:jc w:val="center"/>
      </w:pPr>
    </w:p>
    <w:p>
      <w:pPr>
        <w:spacing w:before="120" w:after="120"/>
        <w:ind w:firstLine="0"/>
        <w:jc w:val="center"/>
      </w:pPr>
    </w:p>
    <w:p>
      <w:pPr>
        <w:spacing w:before="120" w:after="120"/>
        <w:ind w:firstLine="0"/>
        <w:jc w:val="center"/>
      </w:pPr>
    </w:p>
    <w:p>
      <w:pPr>
        <w:spacing w:before="80" w:after="80"/>
        <w:ind w:firstLine="0"/>
        <w:jc w:val="center"/>
      </w:pPr>
      <w:r>
        <w:rPr>
          <w:rFonts w:ascii="Times New Roman" w:hAnsi="Times New Roman"/>
          <w:b w:val="0"/>
          <w:sz w:val="24"/>
        </w:rPr>
        <w:t>2026</w:t>
      </w:r>
    </w:p>
    <w:p>
      <w:pPr>
        <w:pageBreakBefore/>
        <w:spacing w:after="240"/>
        <w:ind w:firstLine="0" w:left="0"/>
        <w:jc w:val="center"/>
      </w:pPr>
      <w:r>
        <w:rPr>
          <w:rFonts w:ascii="Times New Roman" w:hAnsi="Times New Roman"/>
          <w:b/>
          <w:sz w:val="28"/>
        </w:rPr>
        <w:t>Мазмұны</w:t>
      </w:r>
    </w:p>
    <w:p>
      <w:pPr>
        <w:spacing w:after="0"/>
        <w:ind w:firstLine="0" w:left="0"/>
      </w:pPr>
      <w:r>
        <w:fldChar w:fldCharType="begin" w:dirty="true"/>
      </w:r>
      <w:r>
        <w:instrText xml:space="preserve"> TOC \o "1-3" \h \z \u </w:instrText>
      </w:r>
      <w:r>
        <w:fldChar w:fldCharType="separate"/>
      </w:r>
    </w:p>
    <w:p>
      <w:pPr>
        <w:pStyle w:val="TOC1"/>
        <w:ind w:firstLine="0" w:left="0"/>
      </w:pPr>
      <w:r>
        <w:fldChar w:fldCharType="begin"/>
      </w:r>
      <w:r>
        <w:instrText xml:space="preserve"> HYPERLINK \l "_Toc_heading_0" </w:instrText>
      </w:r>
      <w:r>
        <w:fldChar w:fldCharType="separate"/>
      </w:r>
      <w:r>
        <w:rPr>
          <w:rFonts w:ascii="Times New Roman" w:hAnsi="Times New Roman"/>
          <w:sz w:val="28"/>
        </w:rPr>
        <w:t>Аңдатпа</w:t>
      </w:r>
      <w:r>
        <w:fldChar w:fldCharType="end"/>
      </w:r>
      <w:r>
        <w:rPr>
          <w:rFonts w:ascii="Times New Roman" w:hAnsi="Times New Roman"/>
          <w:sz w:val="28"/>
        </w:rPr>
        <w:tab/>
      </w:r>
      <w:r>
        <w:fldChar w:fldCharType="begin" w:dirty="true"/>
      </w:r>
      <w:r>
        <w:instrText xml:space="preserve"> PAGEREF _Toc_heading_0 \h </w:instrText>
      </w:r>
      <w:r>
        <w:fldChar w:fldCharType="separate"/>
      </w:r>
      <w:r>
        <w:rPr>
          <w:rFonts w:ascii="Times New Roman" w:hAnsi="Times New Roman"/>
          <w:sz w:val="28"/>
        </w:rPr>
        <w:t>1</w:t>
      </w:r>
      <w:r>
        <w:fldChar w:fldCharType="end"/>
      </w:r>
    </w:p>
    <w:p>
      <w:pPr>
        <w:pStyle w:val="TOC1"/>
        <w:ind w:firstLine="0" w:left="0"/>
      </w:pPr>
      <w:r>
        <w:fldChar w:fldCharType="begin"/>
      </w:r>
      <w:r>
        <w:instrText xml:space="preserve"> HYPERLINK \l "_Toc_heading_1" </w:instrText>
      </w:r>
      <w:r>
        <w:fldChar w:fldCharType="separate"/>
      </w:r>
      <w:r>
        <w:rPr>
          <w:rFonts w:ascii="Times New Roman" w:hAnsi="Times New Roman"/>
          <w:sz w:val="28"/>
        </w:rPr>
        <w:t>Кіріспе</w:t>
      </w:r>
      <w:r>
        <w:fldChar w:fldCharType="end"/>
      </w:r>
      <w:r>
        <w:rPr>
          <w:rFonts w:ascii="Times New Roman" w:hAnsi="Times New Roman"/>
          <w:sz w:val="28"/>
        </w:rPr>
        <w:tab/>
      </w:r>
      <w:r>
        <w:fldChar w:fldCharType="begin" w:dirty="true"/>
      </w:r>
      <w:r>
        <w:instrText xml:space="preserve"> PAGEREF _Toc_heading_1 \h </w:instrText>
      </w:r>
      <w:r>
        <w:fldChar w:fldCharType="separate"/>
      </w:r>
      <w:r>
        <w:rPr>
          <w:rFonts w:ascii="Times New Roman" w:hAnsi="Times New Roman"/>
          <w:sz w:val="28"/>
        </w:rPr>
        <w:t>1</w:t>
      </w:r>
      <w:r>
        <w:fldChar w:fldCharType="end"/>
      </w:r>
    </w:p>
    <w:p>
      <w:pPr>
        <w:pStyle w:val="TOC1"/>
        <w:ind w:firstLine="0" w:left="0"/>
      </w:pPr>
      <w:r>
        <w:fldChar w:fldCharType="begin"/>
      </w:r>
      <w:r>
        <w:instrText xml:space="preserve"> HYPERLINK \l "_Toc_heading_2" </w:instrText>
      </w:r>
      <w:r>
        <w:fldChar w:fldCharType="separate"/>
      </w:r>
      <w:r>
        <w:rPr>
          <w:rFonts w:ascii="Times New Roman" w:hAnsi="Times New Roman"/>
          <w:sz w:val="28"/>
        </w:rPr>
        <w:t>1-ТАРАУ. ЖОҒАРЫ ОҚУ ОРЫНДАРЫНДА ЦИФРЛЫҚ ТЕХНОЛОГИЯЛАРДЫ ҚОЛДАНУДЫҢ ҒЫЛЫМИ-ТЕОРИЯЛЫҚ НЕГІЗДЕРІ</w:t>
      </w:r>
      <w:r>
        <w:fldChar w:fldCharType="end"/>
      </w:r>
      <w:r>
        <w:rPr>
          <w:rFonts w:ascii="Times New Roman" w:hAnsi="Times New Roman"/>
          <w:sz w:val="28"/>
        </w:rPr>
        <w:tab/>
      </w:r>
      <w:r>
        <w:fldChar w:fldCharType="begin" w:dirty="true"/>
      </w:r>
      <w:r>
        <w:instrText xml:space="preserve"> PAGEREF _Toc_heading_2 \h </w:instrText>
      </w:r>
      <w:r>
        <w:fldChar w:fldCharType="separate"/>
      </w:r>
      <w:r>
        <w:rPr>
          <w:rFonts w:ascii="Times New Roman" w:hAnsi="Times New Roman"/>
          <w:sz w:val="28"/>
        </w:rPr>
        <w:t>1</w:t>
      </w:r>
      <w:r>
        <w:fldChar w:fldCharType="end"/>
      </w:r>
    </w:p>
    <w:p>
      <w:pPr>
        <w:pStyle w:val="TOC2"/>
        <w:ind w:firstLine="0" w:left="567"/>
      </w:pPr>
      <w:r>
        <w:fldChar w:fldCharType="begin"/>
      </w:r>
      <w:r>
        <w:instrText xml:space="preserve"> HYPERLINK \l "_Toc_heading_3" </w:instrText>
      </w:r>
      <w:r>
        <w:fldChar w:fldCharType="separate"/>
      </w:r>
      <w:r>
        <w:rPr>
          <w:rFonts w:ascii="Times New Roman" w:hAnsi="Times New Roman"/>
          <w:sz w:val="28"/>
        </w:rPr>
        <w:t>1.1. Білім беруді цифрландырудың заманауи тұжырымдамалары мен үрдістері</w:t>
      </w:r>
      <w:r>
        <w:fldChar w:fldCharType="end"/>
      </w:r>
      <w:r>
        <w:rPr>
          <w:rFonts w:ascii="Times New Roman" w:hAnsi="Times New Roman"/>
          <w:sz w:val="28"/>
        </w:rPr>
        <w:tab/>
      </w:r>
      <w:r>
        <w:fldChar w:fldCharType="begin" w:dirty="true"/>
      </w:r>
      <w:r>
        <w:instrText xml:space="preserve"> PAGEREF _Toc_heading_3 \h </w:instrText>
      </w:r>
      <w:r>
        <w:fldChar w:fldCharType="separate"/>
      </w:r>
      <w:r>
        <w:rPr>
          <w:rFonts w:ascii="Times New Roman" w:hAnsi="Times New Roman"/>
          <w:sz w:val="28"/>
        </w:rPr>
        <w:t>1</w:t>
      </w:r>
      <w:r>
        <w:fldChar w:fldCharType="end"/>
      </w:r>
    </w:p>
    <w:p>
      <w:pPr>
        <w:pStyle w:val="TOC2"/>
        <w:ind w:firstLine="0" w:left="567"/>
      </w:pPr>
      <w:r>
        <w:fldChar w:fldCharType="begin"/>
      </w:r>
      <w:r>
        <w:instrText xml:space="preserve"> HYPERLINK \l "_Toc_heading_4" </w:instrText>
      </w:r>
      <w:r>
        <w:fldChar w:fldCharType="separate"/>
      </w:r>
      <w:r>
        <w:rPr>
          <w:rFonts w:ascii="Times New Roman" w:hAnsi="Times New Roman"/>
          <w:sz w:val="28"/>
        </w:rPr>
        <w:t>1.2. Жоғары білім беруде қолданылатын цифрлық технологиялардың түрлері мен сипаттамалары</w:t>
      </w:r>
      <w:r>
        <w:fldChar w:fldCharType="end"/>
      </w:r>
      <w:r>
        <w:rPr>
          <w:rFonts w:ascii="Times New Roman" w:hAnsi="Times New Roman"/>
          <w:sz w:val="28"/>
        </w:rPr>
        <w:tab/>
      </w:r>
      <w:r>
        <w:fldChar w:fldCharType="begin" w:dirty="true"/>
      </w:r>
      <w:r>
        <w:instrText xml:space="preserve"> PAGEREF _Toc_heading_4 \h </w:instrText>
      </w:r>
      <w:r>
        <w:fldChar w:fldCharType="separate"/>
      </w:r>
      <w:r>
        <w:rPr>
          <w:rFonts w:ascii="Times New Roman" w:hAnsi="Times New Roman"/>
          <w:sz w:val="28"/>
        </w:rPr>
        <w:t>1</w:t>
      </w:r>
      <w:r>
        <w:fldChar w:fldCharType="end"/>
      </w:r>
    </w:p>
    <w:p>
      <w:pPr>
        <w:pStyle w:val="TOC2"/>
        <w:ind w:firstLine="0" w:left="567"/>
      </w:pPr>
      <w:r>
        <w:fldChar w:fldCharType="begin"/>
      </w:r>
      <w:r>
        <w:instrText xml:space="preserve"> HYPERLINK \l "_Toc_heading_5" </w:instrText>
      </w:r>
      <w:r>
        <w:fldChar w:fldCharType="separate"/>
      </w:r>
      <w:r>
        <w:rPr>
          <w:rFonts w:ascii="Times New Roman" w:hAnsi="Times New Roman"/>
          <w:sz w:val="28"/>
        </w:rPr>
        <w:t>1.3. Оқу үдерісінде цифрлық технологияларды қолданудың педагогикалық шарттары</w:t>
      </w:r>
      <w:r>
        <w:fldChar w:fldCharType="end"/>
      </w:r>
      <w:r>
        <w:rPr>
          <w:rFonts w:ascii="Times New Roman" w:hAnsi="Times New Roman"/>
          <w:sz w:val="28"/>
        </w:rPr>
        <w:tab/>
      </w:r>
      <w:r>
        <w:fldChar w:fldCharType="begin" w:dirty="true"/>
      </w:r>
      <w:r>
        <w:instrText xml:space="preserve"> PAGEREF _Toc_heading_5 \h </w:instrText>
      </w:r>
      <w:r>
        <w:fldChar w:fldCharType="separate"/>
      </w:r>
      <w:r>
        <w:rPr>
          <w:rFonts w:ascii="Times New Roman" w:hAnsi="Times New Roman"/>
          <w:sz w:val="28"/>
        </w:rPr>
        <w:t>1</w:t>
      </w:r>
      <w:r>
        <w:fldChar w:fldCharType="end"/>
      </w:r>
    </w:p>
    <w:p>
      <w:pPr>
        <w:pStyle w:val="TOC1"/>
        <w:ind w:firstLine="0" w:left="0"/>
      </w:pPr>
      <w:r>
        <w:fldChar w:fldCharType="begin"/>
      </w:r>
      <w:r>
        <w:instrText xml:space="preserve"> HYPERLINK \l "_Toc_heading_6" </w:instrText>
      </w:r>
      <w:r>
        <w:fldChar w:fldCharType="separate"/>
      </w:r>
      <w:r>
        <w:rPr>
          <w:rFonts w:ascii="Times New Roman" w:hAnsi="Times New Roman"/>
          <w:sz w:val="28"/>
        </w:rPr>
        <w:t>2-ТАРАУ. ЖОҒАРЫ ОҚУ ОРЫНДАРЫНЫҢ ОҚУ ҮДЕРІСІН ЦИФРЛАНДЫРУДЫҢ ХАЛЫҚАРАЛЫҚ ЖӘНЕ ОТАНДЫҚ ТӘЖІРИБЕСІН ТАЛДАУ</w:t>
      </w:r>
      <w:r>
        <w:fldChar w:fldCharType="end"/>
      </w:r>
      <w:r>
        <w:rPr>
          <w:rFonts w:ascii="Times New Roman" w:hAnsi="Times New Roman"/>
          <w:sz w:val="28"/>
        </w:rPr>
        <w:tab/>
      </w:r>
      <w:r>
        <w:fldChar w:fldCharType="begin" w:dirty="true"/>
      </w:r>
      <w:r>
        <w:instrText xml:space="preserve"> PAGEREF _Toc_heading_6 \h </w:instrText>
      </w:r>
      <w:r>
        <w:fldChar w:fldCharType="separate"/>
      </w:r>
      <w:r>
        <w:rPr>
          <w:rFonts w:ascii="Times New Roman" w:hAnsi="Times New Roman"/>
          <w:sz w:val="28"/>
        </w:rPr>
        <w:t>1</w:t>
      </w:r>
      <w:r>
        <w:fldChar w:fldCharType="end"/>
      </w:r>
    </w:p>
    <w:p>
      <w:pPr>
        <w:pStyle w:val="TOC2"/>
        <w:ind w:firstLine="0" w:left="567"/>
      </w:pPr>
      <w:r>
        <w:fldChar w:fldCharType="begin"/>
      </w:r>
      <w:r>
        <w:instrText xml:space="preserve"> HYPERLINK \l "_Toc_heading_7" </w:instrText>
      </w:r>
      <w:r>
        <w:fldChar w:fldCharType="separate"/>
      </w:r>
      <w:r>
        <w:rPr>
          <w:rFonts w:ascii="Times New Roman" w:hAnsi="Times New Roman"/>
          <w:sz w:val="28"/>
        </w:rPr>
        <w:t>2.1. Дамыған елдердің жоғары оқу орындарында цифрлық технологияларды енгізу тәжірибесі</w:t>
      </w:r>
      <w:r>
        <w:fldChar w:fldCharType="end"/>
      </w:r>
      <w:r>
        <w:rPr>
          <w:rFonts w:ascii="Times New Roman" w:hAnsi="Times New Roman"/>
          <w:sz w:val="28"/>
        </w:rPr>
        <w:tab/>
      </w:r>
      <w:r>
        <w:fldChar w:fldCharType="begin" w:dirty="true"/>
      </w:r>
      <w:r>
        <w:instrText xml:space="preserve"> PAGEREF _Toc_heading_7 \h </w:instrText>
      </w:r>
      <w:r>
        <w:fldChar w:fldCharType="separate"/>
      </w:r>
      <w:r>
        <w:rPr>
          <w:rFonts w:ascii="Times New Roman" w:hAnsi="Times New Roman"/>
          <w:sz w:val="28"/>
        </w:rPr>
        <w:t>1</w:t>
      </w:r>
      <w:r>
        <w:fldChar w:fldCharType="end"/>
      </w:r>
    </w:p>
    <w:p>
      <w:pPr>
        <w:pStyle w:val="TOC2"/>
        <w:ind w:firstLine="0" w:left="567"/>
      </w:pPr>
      <w:r>
        <w:fldChar w:fldCharType="begin"/>
      </w:r>
      <w:r>
        <w:instrText xml:space="preserve"> HYPERLINK \l "_Toc_heading_8" </w:instrText>
      </w:r>
      <w:r>
        <w:fldChar w:fldCharType="separate"/>
      </w:r>
      <w:r>
        <w:rPr>
          <w:rFonts w:ascii="Times New Roman" w:hAnsi="Times New Roman"/>
          <w:sz w:val="28"/>
        </w:rPr>
        <w:t>2.2. Қазақстан Республикасындағы жоғары білім беруді цифрландырудың қазіргі жағдайы мен мәселелері</w:t>
      </w:r>
      <w:r>
        <w:fldChar w:fldCharType="end"/>
      </w:r>
      <w:r>
        <w:rPr>
          <w:rFonts w:ascii="Times New Roman" w:hAnsi="Times New Roman"/>
          <w:sz w:val="28"/>
        </w:rPr>
        <w:tab/>
      </w:r>
      <w:r>
        <w:fldChar w:fldCharType="begin" w:dirty="true"/>
      </w:r>
      <w:r>
        <w:instrText xml:space="preserve"> PAGEREF _Toc_heading_8 \h </w:instrText>
      </w:r>
      <w:r>
        <w:fldChar w:fldCharType="separate"/>
      </w:r>
      <w:r>
        <w:rPr>
          <w:rFonts w:ascii="Times New Roman" w:hAnsi="Times New Roman"/>
          <w:sz w:val="28"/>
        </w:rPr>
        <w:t>1</w:t>
      </w:r>
      <w:r>
        <w:fldChar w:fldCharType="end"/>
      </w:r>
    </w:p>
    <w:p>
      <w:pPr>
        <w:pStyle w:val="TOC2"/>
        <w:ind w:firstLine="0" w:left="567"/>
      </w:pPr>
      <w:r>
        <w:fldChar w:fldCharType="begin"/>
      </w:r>
      <w:r>
        <w:instrText xml:space="preserve"> HYPERLINK \l "_Toc_heading_9" </w:instrText>
      </w:r>
      <w:r>
        <w:fldChar w:fldCharType="separate"/>
      </w:r>
      <w:r>
        <w:rPr>
          <w:rFonts w:ascii="Times New Roman" w:hAnsi="Times New Roman"/>
          <w:sz w:val="28"/>
        </w:rPr>
        <w:t>2.3. Цифрлық технологияларды тиімді қолданудың озық педагогикалық тәжірибелері</w:t>
      </w:r>
      <w:r>
        <w:fldChar w:fldCharType="end"/>
      </w:r>
      <w:r>
        <w:rPr>
          <w:rFonts w:ascii="Times New Roman" w:hAnsi="Times New Roman"/>
          <w:sz w:val="28"/>
        </w:rPr>
        <w:tab/>
      </w:r>
      <w:r>
        <w:fldChar w:fldCharType="begin" w:dirty="true"/>
      </w:r>
      <w:r>
        <w:instrText xml:space="preserve"> PAGEREF _Toc_heading_9 \h </w:instrText>
      </w:r>
      <w:r>
        <w:fldChar w:fldCharType="separate"/>
      </w:r>
      <w:r>
        <w:rPr>
          <w:rFonts w:ascii="Times New Roman" w:hAnsi="Times New Roman"/>
          <w:sz w:val="28"/>
        </w:rPr>
        <w:t>1</w:t>
      </w:r>
      <w:r>
        <w:fldChar w:fldCharType="end"/>
      </w:r>
    </w:p>
    <w:p>
      <w:pPr>
        <w:pStyle w:val="TOC1"/>
        <w:ind w:firstLine="0" w:left="0"/>
      </w:pPr>
      <w:r>
        <w:fldChar w:fldCharType="begin"/>
      </w:r>
      <w:r>
        <w:instrText xml:space="preserve"> HYPERLINK \l "_Toc_heading_10" </w:instrText>
      </w:r>
      <w:r>
        <w:fldChar w:fldCharType="separate"/>
      </w:r>
      <w:r>
        <w:rPr>
          <w:rFonts w:ascii="Times New Roman" w:hAnsi="Times New Roman"/>
          <w:sz w:val="28"/>
        </w:rPr>
        <w:t>3-ТАРАУ. ЖОҒАРЫ ОҚУ ОРЫНДАРЫНДА ОҚУ ҮДЕРІСІН ЦИФРЛЫҚ ТЕХНОЛОГИЯЛАР АРҚЫЛЫ ЖЕТІЛДІРУ ЖОЛДАРЫ</w:t>
      </w:r>
      <w:r>
        <w:fldChar w:fldCharType="end"/>
      </w:r>
      <w:r>
        <w:rPr>
          <w:rFonts w:ascii="Times New Roman" w:hAnsi="Times New Roman"/>
          <w:sz w:val="28"/>
        </w:rPr>
        <w:tab/>
      </w:r>
      <w:r>
        <w:fldChar w:fldCharType="begin" w:dirty="true"/>
      </w:r>
      <w:r>
        <w:instrText xml:space="preserve"> PAGEREF _Toc_heading_10 \h </w:instrText>
      </w:r>
      <w:r>
        <w:fldChar w:fldCharType="separate"/>
      </w:r>
      <w:r>
        <w:rPr>
          <w:rFonts w:ascii="Times New Roman" w:hAnsi="Times New Roman"/>
          <w:sz w:val="28"/>
        </w:rPr>
        <w:t>1</w:t>
      </w:r>
      <w:r>
        <w:fldChar w:fldCharType="end"/>
      </w:r>
    </w:p>
    <w:p>
      <w:pPr>
        <w:pStyle w:val="TOC2"/>
        <w:ind w:firstLine="0" w:left="567"/>
      </w:pPr>
      <w:r>
        <w:fldChar w:fldCharType="begin"/>
      </w:r>
      <w:r>
        <w:instrText xml:space="preserve"> HYPERLINK \l "_Toc_heading_11" </w:instrText>
      </w:r>
      <w:r>
        <w:fldChar w:fldCharType="separate"/>
      </w:r>
      <w:r>
        <w:rPr>
          <w:rFonts w:ascii="Times New Roman" w:hAnsi="Times New Roman"/>
          <w:sz w:val="28"/>
        </w:rPr>
        <w:t>3.1. Оқу үдерісіне цифрлық білім беру ресурстарын кешенді енгізу модельдері</w:t>
      </w:r>
      <w:r>
        <w:fldChar w:fldCharType="end"/>
      </w:r>
      <w:r>
        <w:rPr>
          <w:rFonts w:ascii="Times New Roman" w:hAnsi="Times New Roman"/>
          <w:sz w:val="28"/>
        </w:rPr>
        <w:tab/>
      </w:r>
      <w:r>
        <w:fldChar w:fldCharType="begin" w:dirty="true"/>
      </w:r>
      <w:r>
        <w:instrText xml:space="preserve"> PAGEREF _Toc_heading_11 \h </w:instrText>
      </w:r>
      <w:r>
        <w:fldChar w:fldCharType="separate"/>
      </w:r>
      <w:r>
        <w:rPr>
          <w:rFonts w:ascii="Times New Roman" w:hAnsi="Times New Roman"/>
          <w:sz w:val="28"/>
        </w:rPr>
        <w:t>1</w:t>
      </w:r>
      <w:r>
        <w:fldChar w:fldCharType="end"/>
      </w:r>
    </w:p>
    <w:p>
      <w:pPr>
        <w:pStyle w:val="TOC2"/>
        <w:ind w:firstLine="0" w:left="567"/>
      </w:pPr>
      <w:r>
        <w:fldChar w:fldCharType="begin"/>
      </w:r>
      <w:r>
        <w:instrText xml:space="preserve"> HYPERLINK \l "_Toc_heading_12" </w:instrText>
      </w:r>
      <w:r>
        <w:fldChar w:fldCharType="separate"/>
      </w:r>
      <w:r>
        <w:rPr>
          <w:rFonts w:ascii="Times New Roman" w:hAnsi="Times New Roman"/>
          <w:sz w:val="28"/>
        </w:rPr>
        <w:t>3.2. Оқытушылардың цифрлық құзыреттілігін дамытудың әдістемелік негіздері</w:t>
      </w:r>
      <w:r>
        <w:fldChar w:fldCharType="end"/>
      </w:r>
      <w:r>
        <w:rPr>
          <w:rFonts w:ascii="Times New Roman" w:hAnsi="Times New Roman"/>
          <w:sz w:val="28"/>
        </w:rPr>
        <w:tab/>
      </w:r>
      <w:r>
        <w:fldChar w:fldCharType="begin" w:dirty="true"/>
      </w:r>
      <w:r>
        <w:instrText xml:space="preserve"> PAGEREF _Toc_heading_12 \h </w:instrText>
      </w:r>
      <w:r>
        <w:fldChar w:fldCharType="separate"/>
      </w:r>
      <w:r>
        <w:rPr>
          <w:rFonts w:ascii="Times New Roman" w:hAnsi="Times New Roman"/>
          <w:sz w:val="28"/>
        </w:rPr>
        <w:t>1</w:t>
      </w:r>
      <w:r>
        <w:fldChar w:fldCharType="end"/>
      </w:r>
    </w:p>
    <w:p>
      <w:pPr>
        <w:pStyle w:val="TOC2"/>
        <w:ind w:firstLine="0" w:left="567"/>
      </w:pPr>
      <w:r>
        <w:fldChar w:fldCharType="begin"/>
      </w:r>
      <w:r>
        <w:instrText xml:space="preserve"> HYPERLINK \l "_Toc_heading_13" </w:instrText>
      </w:r>
      <w:r>
        <w:fldChar w:fldCharType="separate"/>
      </w:r>
      <w:r>
        <w:rPr>
          <w:rFonts w:ascii="Times New Roman" w:hAnsi="Times New Roman"/>
          <w:sz w:val="28"/>
        </w:rPr>
        <w:t>3.3. Жоғары оқу орындарының цифрлық білім беру ортасын қалыптастыру бойынша ұсыныстар</w:t>
      </w:r>
      <w:r>
        <w:fldChar w:fldCharType="end"/>
      </w:r>
      <w:r>
        <w:rPr>
          <w:rFonts w:ascii="Times New Roman" w:hAnsi="Times New Roman"/>
          <w:sz w:val="28"/>
        </w:rPr>
        <w:tab/>
      </w:r>
      <w:r>
        <w:fldChar w:fldCharType="begin" w:dirty="true"/>
      </w:r>
      <w:r>
        <w:instrText xml:space="preserve"> PAGEREF _Toc_heading_13 \h </w:instrText>
      </w:r>
      <w:r>
        <w:fldChar w:fldCharType="separate"/>
      </w:r>
      <w:r>
        <w:rPr>
          <w:rFonts w:ascii="Times New Roman" w:hAnsi="Times New Roman"/>
          <w:sz w:val="28"/>
        </w:rPr>
        <w:t>1</w:t>
      </w:r>
      <w:r>
        <w:fldChar w:fldCharType="end"/>
      </w:r>
    </w:p>
    <w:p>
      <w:pPr>
        <w:pStyle w:val="TOC1"/>
        <w:ind w:firstLine="0" w:left="0"/>
      </w:pPr>
      <w:r>
        <w:fldChar w:fldCharType="begin"/>
      </w:r>
      <w:r>
        <w:instrText xml:space="preserve"> HYPERLINK \l "_Toc_heading_14" </w:instrText>
      </w:r>
      <w:r>
        <w:fldChar w:fldCharType="separate"/>
      </w:r>
      <w:r>
        <w:rPr>
          <w:rFonts w:ascii="Times New Roman" w:hAnsi="Times New Roman"/>
          <w:sz w:val="28"/>
        </w:rPr>
        <w:t>Қорытынды</w:t>
      </w:r>
      <w:r>
        <w:fldChar w:fldCharType="end"/>
      </w:r>
      <w:r>
        <w:rPr>
          <w:rFonts w:ascii="Times New Roman" w:hAnsi="Times New Roman"/>
          <w:sz w:val="28"/>
        </w:rPr>
        <w:tab/>
      </w:r>
      <w:r>
        <w:fldChar w:fldCharType="begin" w:dirty="true"/>
      </w:r>
      <w:r>
        <w:instrText xml:space="preserve"> PAGEREF _Toc_heading_14 \h </w:instrText>
      </w:r>
      <w:r>
        <w:fldChar w:fldCharType="separate"/>
      </w:r>
      <w:r>
        <w:rPr>
          <w:rFonts w:ascii="Times New Roman" w:hAnsi="Times New Roman"/>
          <w:sz w:val="28"/>
        </w:rPr>
        <w:t>1</w:t>
      </w:r>
      <w:r>
        <w:fldChar w:fldCharType="end"/>
      </w:r>
    </w:p>
    <w:p>
      <w:pPr>
        <w:spacing w:after="0"/>
        <w:ind w:firstLine="0" w:left="0"/>
      </w:pPr>
      <w:r>
        <w:fldChar w:fldCharType="end"/>
      </w:r>
    </w:p>
    <w:p>
      <w:r>
        <w:br w:type="page"/>
      </w:r>
    </w:p>
    <w:p>
      <w:pPr>
        <w:pStyle w:val="Heading1"/>
      </w:pPr>
      <w:bookmarkStart w:id="100" w:name="_Toc_heading_0"/>
      <w:r>
        <w:t>Аңдатпа</w:t>
      </w:r>
      <w:bookmarkEnd w:id="100"/>
    </w:p>
    <w:p>
      <w:r>
        <w:t>Магистрлік диссертация жоғары оқу орындарының оқу үдерісінде цифрлық технологияларды тиімді қолданудың педагогикалық-әдістемелік негіздерін зерттейді. Жұмыстың өзектілігі жаһандық цифрлық трансформация үдерістерімен және Қазақстанның жоғары білім беру жүйесі алдында тұрған жаңа міндеттермен негізделеді. Технологиялар қарқынды енгізілгенімен, олардың педагогикалық әлеуеті толық ашылмай отыр. Бұған бірнеше жүйелі мәселе себеп. Олардың қатарында оқытушылардың цифрлық құзыреттілігінің жеткіліксіздігі, сапалы қазақтілді контенттің тапшылығы және өңірлер арасындағы «цифрлық теңсіздік» бар.</w:t>
      </w:r>
    </w:p>
    <w:p>
      <w:r>
        <w:t>Зерттеу мақсаты — жоғары оқу орындарындағы оқу үдерісіне цифрлық технологияларды тиімді енгізудің педагогикалық-әдістемелік негіздерін теориялық тұрғыдан негіздеу және оны жетілдіру бойынша практикалық ұсыныстар әзірлеу. Мақсатқа жету үшін бірнеше міндет орындалды. Біріншіден, білім берудегі «оцифрлау», «цифрландыру» және «цифрлық трансформация» ұғымдарының аражігі ажыратылды. Бұған қоса, халықаралық және отандық тәжірибе негізінде LMS, MOOC, VR/AR, жасанды интеллект сияқты технологиялардың дидактикалық мүмкіндіктері, «аралас оқыту» мен «аударылған сынып» тәрізді озық әдістер, сондай-ақ SAMR, TPACK технологиялық интеграция модельдері мен DigCompEdu құзыреттіліктер құрылымы кешенді түрде талданды.</w:t>
      </w:r>
    </w:p>
    <w:p>
      <w:r>
        <w:t>Жұмыс нәтижесінде цифрландырудың табыстылығы тек техникалық құралдарға байланысты емес екені дәлелденді. Үдерістің сәттілігі ең алдымен оқытушының педагогикалық шеберлігіне, оқу барысын жаңаша жобалай білуіне және студент белсенділігін ынталандыратын орта қалыптастыруына тәуелді. Зерттеу қорытындылары негізінде нақты ұсыныстар әзірленді. Олардың қатарына қазақстандық жоғары оқу орындары үшін бірыңғай инфрақұрылымдық стандарттар енгізу, орталықтандырылған білім беру платформаларын дамыту, оқытушылардың біліктілігін арттыру бағдарламаларын құру және оқу-әдістемелік мазмұнды жаңарту кіреді.</w:t>
      </w:r>
    </w:p>
    <w:p>
      <w:r>
        <w:br w:type="page"/>
      </w:r>
    </w:p>
    <w:p>
      <w:pPr>
        <w:pStyle w:val="Heading1"/>
      </w:pPr>
      <w:bookmarkStart w:id="101" w:name="_Toc_heading_1"/>
      <w:r>
        <w:t>Кіріспе</w:t>
      </w:r>
      <w:bookmarkEnd w:id="101"/>
    </w:p>
    <w:p>
      <w:r>
        <w:t>Тақырыптың өзектілігі. XXI ғасырда әлемдік білім беру кеңістігі цифрлық технологиялардың қарқынды дамуымен сипатталатын жаһандық трансформация кезеңін бастан кешіруде. Осы үдеріс барысында ақпараттық-коммуникациялық технологиялар (АКТ) білім беру саласының ажырамас бөлігіне айналып, оқытудың мазмұнын, әдістері мен ұйымдастыру формаларын түбегейлі өзгертуде [Блинова 2021, 67 б.]. Бұл — кәсіби дамуды және қазіргі әлемге жылдам бейімделуді қамтамасыз ететін негізгі фактор [Васик 2025, 1-2 б.]. Әсіресе COVID-19 пандемиясынан кейін жоғары оқу орындарының (ЖОО) онлайн және аралас оқыту форматтарына жаппай көшуі бұл үдерісті одан әрі жеделдетті, соның нәтижесінде жаппай ашық онлайн курстар (MOOC) сияқты платформалардың танымалдылығы артып, 2021 жылға қарай олардың тыңдаушыларының жалпы саны 220 миллион адамға жетті [Актымбаева 2025, 3 б.].</w:t>
      </w:r>
    </w:p>
    <w:p>
      <w:r>
        <w:t>Қазақстан Республикасы да бұл жаһандық үрдістен тыс қалған жоқ. Елімізде білім беруді цифрландыру мемлекеттік саясаттың басым бағыттарының бірі ретінде танылып, 2017 жылы қабылданған «Цифрлық Қазақстан» мемлекеттік бағдарламасы аясында жүйелі іске асырылуда. Бағдарламаның негізгі мақсаттарының бірі — адами капиталды дамыту арқылы креативті қоғам қалыптастыру, бұл жоғары білім беру жүйесіне жаңа міндеттер жүктейді [Сүлейменова 2022, 54 б.]. Бүгінгі таңда еліміздің барлық дерлік ЖОО оқытуды басқару жүйелерін (LMS) енгізіп, аралас оқыту моделін белсенді қолданып келеді.</w:t>
      </w:r>
    </w:p>
    <w:p>
      <w:r>
        <w:t>Дегенмен, цифрлық технологияларды оқу үдерісіне енгізу бірқатар жүйелі мәселе мен қарама-қайшылықтарды туындатып отыр. Бір жағынан, цифрландыру білім берудің қолжетімділігін, икемділігін арттырып, жеке білім беру траекторияларын құруға мүмкіндік береді [Сүлейменова 2022, 59 б.]. Екінші жағынан, оның тиімділігі техникалық инфрақұрылымның сапасына, оқытушылардың цифрлық құзыреттілігіне және қолданылатын педагогикалық әдістемелерге тәуелді. Зерттеулер көрсеткендей, Қазақстанда цифрландыру көбінесе «цифрлық орта» құрумен шектелуде. Бұл үдеріс білім беруді студентке бағытталған тәсілдер арқылы терең трансформациялауға толық ұласпай отыр [Berdykulova 2022, 10 б.].</w:t>
      </w:r>
    </w:p>
    <w:p>
      <w:r>
        <w:t>Бұл ретте бірнеше негізгі мәселені атап өтуге болады. Біріншіден, оқытушылардың цифрлық технологияларды педагогикалық мақсатта тиімді қолдану дағдыларының жеткіліксіздігі байқалады. Көп жағдайда оқытушылар технологияларды дәстүрлі әдістерді алмастырушы құрал ретінде ғана қолданып, оның оқу үдерісін түбегейлі өзгерту әлеуетін толық пайдаланбайды [Круглова 2020, 5-7 б.]. Екіншіден, цифрлық теңсіздік мәселесі өткір күйінде қалып отыр, себебі еліміздің әр өңіріндегі интернет жылдамдығының әртүрлілігі мен сапалы қазақтілді цифрлық білім беру контентінің аздығы студенттердің теңдей білім алуына кедергі келтіреді [Сүлейменова 2022, 58 б.]. Үшіншіден, цифрлық құралдарды шамадан тыс пайдалану студенттердің бетпе-бет қарым-қатынасын азайтып, әлеуметтік дағдыларының дамуына кері әсер етуі мүмкін [Ерманқызы 2024, 3 б.].</w:t>
      </w:r>
    </w:p>
    <w:p>
      <w:r>
        <w:t>Осыған байланысты, жоғары оқу орындарының оқу үдерісінде цифрлық технологияларды тиімді қолданудың педагогикалық шарттарын, әдіснамалық негіздерін және озық тәжірибелерін ғылыми тұрғыдан зерделеудің өзектілігі артып отыр. Себебі технологияларды педагогикалық мақсаттарға сай, мазмұнды түрде қолдану арқылы ғана білім сапасын арттыруға және бәсекеге қабілетті мамандар даярлауға болады.</w:t>
      </w:r>
    </w:p>
    <w:p>
      <w:r>
        <w:t>Зерттеудің мақсаты — жоғары оқу орындарының оқу үдерісінде цифрлық технологияларды тиімді қолданудың педагогикалық-әдістемелік негіздерін теориялық тұрғыдан негіздеу және оны жетілдіру бойынша практикалық ұсыныстар әзірлеу.</w:t>
      </w:r>
    </w:p>
    <w:p>
      <w:r>
        <w:t>Зерттеу міндеттері:</w:t>
      </w:r>
    </w:p>
    <w:p>
      <w:r>
        <w:t>1.  Жоғары білім беруді цифрландырудың теориялық негіздерін, негізгі ұғымдарын, тұжырымдамалары мен үрдістерін ғылыми-педагогикалық әдебиеттерге сүйене отырып талдау;</w:t>
      </w:r>
    </w:p>
    <w:p>
      <w:r>
        <w:t>2.  Жоғары оқу орындарының оқу үдерісінде қолданылатын негізгі цифрлық технологиялардың түрлерін, сипаттамаларын және дидактикалық мүмкіндіктерін анықтау;</w:t>
      </w:r>
    </w:p>
    <w:p>
      <w:r>
        <w:t>3.  Дамыған елдер мен Қазақстанның жоғары оқу орындарында цифрлық технологияларды енгізудің қазіргі жағдайын, жетістіктері мен мәселелерін салыстырмалы талдау;</w:t>
      </w:r>
    </w:p>
    <w:p>
      <w:r>
        <w:t>4.  Цифрлық технологияларды оқу үдерісіне тиімді интеграциялаудың озық педагогикалық тәжірибелері мен модельдерін (SAMR, TPACK) зерделеу;</w:t>
      </w:r>
    </w:p>
    <w:p>
      <w:r>
        <w:t>5.  Оқытушылардың цифрлық құзыреттілігінің құрылымын, даму деңгейлерін (DigCompEdu) және оны қалыптастырудың әдістемелік жолдарын саралау;</w:t>
      </w:r>
    </w:p>
    <w:p>
      <w:r>
        <w:t>6.  Қазақстандық жоғары оқу орындарының цифрлық білім беру ортасын қалыптастыру және оқу үдерісін жетілдіру бойынша нақты ұсыныстар әзірлеу.</w:t>
      </w:r>
    </w:p>
    <w:p>
      <w:r>
        <w:t>Зерттеу нысаны — жоғары оқу орындарындағы оқу-тәрбие үдерісі.</w:t>
      </w:r>
    </w:p>
    <w:p>
      <w:r>
        <w:t>Зерттеу пәні — жоғары оқу орындарының оқу үдерісін цифрлық технологиялар арқылы ұйымдастырудың педагогикалық шарттары, әдістері мен модельдері.</w:t>
      </w:r>
    </w:p>
    <w:p>
      <w:r>
        <w:t>Зерттеудің теориялық-әдіснамалық негіздері. Зерттеу жұмысы тұлғаға-бағытталған, құзыреттілік, жүйелілік және синергетикалық тәсілдерге негізделді. Зерттеу барысында білім беруді цифрландыру мәселелеріне арналған отандық және шетелдік ғалымдардың еңбектері теориялық негіз болды. Атап айтқанда, цифрлық дидактиканың теориялық негіздері М. А. Чошанов [Васик 2025], В. М. Монахов [Васик 2025], Л. М. Семенова [Блинова 2021] еңбектерінде, білім берудегі технологиялық интеграция модельдері (SAMR, TPACK) Р. Пуэнтедура, П. Мишра, М. Кёлердің [Hilton 2016] тұжырымдамаларында, ал оқытушылардың цифрлық құзыреттілігін дамыту мәселелері DigCompEdu еуропалық стандартында [Ca- Nguyen Duc 2025] қарастырылды. Бұған қоса, Қазақстандағы білім беруді цифрландыру мәселелері Г. Қ. Нұрғалиева, Г. Б. Ахметова, Ж. Т. Сүлейменова [Сүлейменова 2022], А. Б. Айтбаева [Айтбаева 2022] сияқты отандық ғалымдардың зерттеулеріне сүйеніп талданды.</w:t>
      </w:r>
    </w:p>
    <w:p>
      <w:r>
        <w:t>Зерттеу әдістері:</w:t>
      </w:r>
    </w:p>
    <w:p>
      <w:r>
        <w:t>Теориялық әдістер: зерттеу тақырыбы бойынша философиялық, психологиялық-педагогикалық, ғылыми-әдістемелік әдебиеттерді, нормативтік құжаттарды талдау, синтездеу, салыстыру, жүйелеу және жалпылау;</w:t>
      </w:r>
    </w:p>
    <w:p>
      <w:r>
        <w:t>Эмпирикалық әдістер: педагогикалық бақылау, сауалнама, әңгімелесу, озық педагогикалық тәжірибелерді зерттеу;</w:t>
      </w:r>
    </w:p>
    <w:p>
      <w:r>
        <w:t>Статистикалық әдістер: зерттеу нәтижелерін сандық және сапалық өңдеу, деректерді кестелер мен диаграммалар түрінде ұсыну.</w:t>
      </w:r>
    </w:p>
    <w:p>
      <w:r>
        <w:t>Зерттеудің теориялық маңыздылығы:</w:t>
      </w:r>
    </w:p>
    <w:p>
      <w:r>
        <w:t>Жоғары білім беруді цифрландырудың ұғымдық аппараты (оцифрлау, цифрландыру, цифрлық трансформация, цифрлық дидактика) нақтыланып, олардың арақатынасы жүйеленді;</w:t>
      </w:r>
    </w:p>
    <w:p>
      <w:r>
        <w:t>Жоғары оқу орындарында цифрлық технологияларды тиімді қолданудың педагогикалық шарттары (мазмұнды қайта құру, жекелендіру, коллаборативті орта құру, бағалауды трансформациялау) анықталды;</w:t>
      </w:r>
    </w:p>
    <w:p>
      <w:r>
        <w:t>SAMR, TPACK сияқты халықаралық технологиялық интеграция модельдерінің және DigCompEdu құзыреттіліктер құрылымының қазақстандық жоғары білім беру контексіндегі маңызы теориялық тұрғыдан негізделді.</w:t>
      </w:r>
    </w:p>
    <w:p>
      <w:r>
        <w:t>Зерттеудің практикалық маңыздылығы. Зерттеу нәтижелері мен ұсыныстары жоғары оқу орындарының басшыларына, әдістемелік бөлімдеріне және оқытушы-профессорлар құрамына цифрлық білім беру ортасын жобалауда, оқу бағдарламаларын жаңартуда және оқытушылардың біліктілігін арттыру курстарын әзірлеуде практикалық құрал ретінде пайдаланылуы мүмкін. Зерттеуде ұсынылған озық педагогикалық тәжірибелер мен әдістемелік ұсынымдар оқытушылардың күнделікті сабақтарының сапасын арттыруға ықпал етеді.</w:t>
      </w:r>
    </w:p>
    <w:p>
      <w:r>
        <w:t>Дипломдық жұмыстың құрылымы. Жұмыс кіріспеден, үш тараудан, қорытындыдан және пайдаланылған әдебиеттер тізімінен тұрады. Кіріспеде тақырыптың өзектілігі негізделіп, зерттеудің мақсаты, міндеттері, нысаны мен пәні анықталады, сондай-ақ зерттеудің теориялық-әдіснамалық негіздері, әдістері, теориялық және практикалық маңыздылығы көрсетіледі. «Жоғары оқу орындарында цифрлық технологияларды қолданудың ғылыми-теориялық негіздері» атты бірінші тарауда білім беруді цифрландырудың ұғымдық-терминологиялық аппараты, даму кезеңдері мен теориялық тұжырымдамалары, ЖОО-да қолданылатын негізгі цифрлық технологиялардың түрлері мен дидактикалық сипаттамалары, сонымен бірге оларды тиімді қолданудың педагогикалық шарттары мен оқытушы мен студенттің жаңа рөлдері қарастырылады. «Жоғары оқу орындарының оқу үдерісін цифрландырудың халықаралық және отандық тәжірибесін талдау» атты екінші тарауда дамыған елдердің (АҚШ, Еуропа, Азия) ЖОО-ларындағы цифрлық трансформация тәжірибесі талданып, Қазақстан Республикасындағы жоғары білім беруді цифрландырудың қазіргі жағдайы, жетістіктері мен жүйелі мәселелері сараланады. «Жоғары оқу орындарында оқу үдерісін цифрлық технологиялар арқылы жетілдіру жолдары» атты үшінші тарауда озық педагогикалық тәжірибелер (аралас оқыту, жобалық оқыту), технологиялық интеграция модельдері (SAMR, TPACK), оқытушылардың цифрлық құзыреттілігін дамытудың әдістемелік негіздері (DigCompEdu) және қазақстандық ЖОО-лар үшін цифрлық білім беру ортасын қалыптастыру бойынша нақты ұсыныстар талқыланады. Қорытындыда зерттеу нәтижелері жалпыланып, негізгі тұжырымдар жасалады және болашақ зерттеу бағыттары айқындалады. Пайдаланылған әдебиеттер тізімінде зерттеу барысында қолданылған ғылыми еңбектер мен дереккөздер берілген.</w:t>
      </w:r>
    </w:p>
    <w:p>
      <w:r>
        <w:br w:type="page"/>
      </w:r>
    </w:p>
    <w:p>
      <w:pPr>
        <w:pStyle w:val="Heading1"/>
      </w:pPr>
      <w:bookmarkStart w:id="102" w:name="_Toc_heading_2"/>
      <w:r>
        <w:t>1-ТАРАУ. ЖОҒАРЫ ОҚУ ОРЫНДАРЫНДА ЦИФРЛЫҚ ТЕХНОЛОГИЯЛАРДЫ ҚОЛДАНУДЫҢ ҒЫЛЫМИ-ТЕОРИЯЛЫҚ НЕГІЗДЕРІ</w:t>
      </w:r>
      <w:bookmarkEnd w:id="102"/>
    </w:p>
    <w:p>
      <w:pPr>
        <w:pStyle w:val="Heading2"/>
      </w:pPr>
      <w:bookmarkStart w:id="103" w:name="_Toc_heading_3"/>
      <w:r>
        <w:t>1.1. Білім беруді цифрландырудың заманауи тұжырымдамалары мен үрдістері</w:t>
      </w:r>
      <w:bookmarkEnd w:id="103"/>
    </w:p>
    <w:p>
      <w:r>
        <w:t>XXI ғасырда жоғары білім беру жүйесі ақпараттық қоғамның қалыптасуы мен цифрлық экономиканың дамуына байланысты түбегейлі өзгерістерге ұшырауда. Цифрлық технологиялардың білім беру саласына енуі оқытудың мазмұнын, құрылымын, әдістері мен ұйымдастырушылық формаларын қайта қарауды талап етеді. Бұл үдерістің мәнін түсіну үшін оның негізгі тұжырымдамаларын, теориялық негіздерін және қазіргі заманғы үрдістерін талдаудың ғылыми маңызы зор. Осы бөлімде білім беруді цифрландырудың ұғымдық аппараты, эволюциялық кезеңдері, негізгі теориялық тұғырлары мен заманауи даму бағыттары қарастырылады.</w:t>
      </w:r>
    </w:p>
    <w:p>
      <w:r>
        <w:t>Ғылыми әдебиеттерде білім беру саласындағы цифрлық өзгерістерді сипаттау үшін «оцифрлау» (digitization), «цифрландыру» (digitalization) және «цифрлық трансформация» ұғымдары жиі қолданылады. Бұл терминдер кейде бір мағынада қолданылғанымен, олардың мазмұны әртүрлі. Оцифрлау — ақпаратты аналогтық форматтан (мысалы, қағаздағы мәтін, фотосурет) цифрлық форматқа («биттерге») түрлендірудің техникалық үдерісі [1, б.22]. Ал цифрландыру — осы оцифрланған ақпарат пен цифрлық технологияларды қолдану арқылы жұмыс үдерістерін жақсартуды және тиімділікті арттыруды білдіреді [1, б.22]. Яғни, оцифрлау ақпараттың формасын өзгертсе, цифрландыру сол ақпаратты пайдаланып, үдерістерді өзгертеді.</w:t>
      </w:r>
    </w:p>
    <w:p>
      <w:r>
        <w:t>Білім беруді цифрландыру үдерісі бірнеше тарихи кезеңнен өтті. Отандық және ресейлік зерттеушілер бұл эволюцияны шамамен үш негізгі толқынға бөліп қарастырады. Бірінші кезең — компьютерлендіру (ХХ ғасырдың 80-90 жылдары). Бұл кезең «халықтың компьютерлік сауаттылығын қамтамасыз ету» ұранымен өтіп, білім беру ұйымдарын дербес компьютерлермен жабдықтауға және информатика пәнін оқытуға негізделді [2; 1]. Екінші кезең — ақпараттандыру (2000-жылдар). Бұл кезеңде басты мақсат компьютерлік сауаттылықтан оқу үдерісінің тиімділігін арттыруға ауысып, ақпараттық-коммуникациялық технологияларды (АКТ) оқу үдерісіне енгізу басымдыққа ие болды. Нәтижесінде электронды білім беру ресурстары, мультимедиалық құралдар және қашықтан оқытудың алғашқы формалары пайда болды [1, б.32-33].</w:t>
      </w:r>
    </w:p>
    <w:p>
      <w:r>
        <w:t>Қазіргі уақытта біз үшінші кезеңде — цифрлық трансформация кезеңінде тұрмыз. Бұл ұғымды зерттеушілер технологияларды енгізумен ғана шектемей, білім берудің бүкіл тұжырымдамасының өзгеруі ретінде қарастырады [3, б.67]. Цифрлық трансформация — әрбір білім алушының жоспарланған білім беру нәтижелеріне жетуіне мүмкіндік беретін және цифрлық технологиялар негізінде оқу үдерісін дербестендіруге көшу [3, б.66]. Демек, бұл кезеңде құралдармен қатар білім берудің мақсаттары, мазмұны, әдістері, бағалау жүйесі, сондай-ақ оқытушы мен студенттің рөлі түбегейлі қайта қаралуда [4, б.4]. Бұл үдеріс жаңа технологиялардың пайда болуымен және Индустрия 4,0 талаптарымен тығыз байланысты дамып келеді.</w:t>
      </w:r>
    </w:p>
    <w:p>
      <w:r>
        <w:t>Білім беруді цифрландырудың теориялық негіздері цифрлық дидактика деп аталатын жаңа педагогикалық бағыт аясында қалыптасуда. Цифрлық дидактика — цифрлық білім беру ортасында оқыту үдерісін ұйымдастыру туралы педагогиканың саласы [4, б.5]. Ол дәстүрлі дидактиканың негізгі қағидаларын сақтай отырып, оларды цифрлық ортаның ерекшеліктеріне бейімдейді. Цифрлық дидактика педагогика мен информатика сияқты ғылымдардың тоғысында пайда болған «трансфер-интегративті» білім саласы ретінде қарастырылады [4, б.5].</w:t>
      </w:r>
    </w:p>
    <w:p>
      <w:r>
        <w:t>Бұл салада бірнеше ұқсас, бірақ мағыналық реңктері әртүрлі тұжырымдамалар бар. Мәселен, зерттеушілер «компьютерлік дидактика», «электронды дидактика», «э-дидактика» және «сандық дидактика» сияқты терминдерді ажыратып көрсетеді. Мысалы, М.А. Чошанов «э-дидактиканы» оқытудың ғылымы, өнері және техникасы деп сипаттаса, В.М. Монахов «сандық дидактиканы» АТ-ның соңғы жетістіктерін қолданатын оқыту теориясына инновациялық көзқарас ретінде анықтайды [5, б.3-5]. Бұдан бөлек, цифрлық дәуірдің оқыту теориясы ретінде Дж. Сименс пен С. Даунс ұсынған коннективизм теориясы ерекше орын алады. Бұл теория білім желілік ортада таратылған, ал оқу — осы желілерде байланыс орнату және ақпаратты шарлау қабілеті деген идеяға негізделеді. Алғашқы жаппай ашық онлайн курстар (cMOOC) осы теорияның практикалық іске асырылуы ретінде пайда болды [3, б.98-99].</w:t>
      </w:r>
    </w:p>
    <w:p>
      <w:r>
        <w:t>Цифрлық трансформация білім беруде бірқатар тұрақты үрдістерді қалыптастырды. Солардың бірі — студенттердің өз қажеттіліктері мен қызығушылықтарына сәйкес оқу бағдарламасын, пәндерді, оқу қарқыны мен форматын таңдау мүмкіндігін білдіретін жеке білім беру траекториясын құру [6, б.186]. Адаптивті оқыту жүйелері әр студентке бейімделген тапсырмалар мен материалдар ұсыну арқылы бұл үдерісті жүзеге асыруға жол ашады. Тағы бір маңызды бағыт — дәстүрлі аудиториялық сабақтар мен онлайн оқыту технологияларын ұштастыратын аралас оқыту (Blended Learning) моделі [3; 6]. Бұған қоса, жаппай ашық онлайн курстар (MOOCs) білімнің қолжетімділігін арттырса, геймификация (ойындандыру) студенттердің ынтасын күшейтеді. Ал мобильді оқыту (Mobile learning) білім алуда уақыт пен орынға тәуелсіздікті қамтамасыз етеді [5, б.4]. Осы үрдістердің ішінде жасанды интеллект (AI) пен деректерді талдау ерекше орын алады, себебі бұл технологиялар студенттің цифрлық ізін (digital footprint) талдау арқылы оқытуды дербестендіруге және оның тиімділігін арттыруға зор мүмкіндіктер береді [3; 6].</w:t>
      </w:r>
    </w:p>
    <w:p>
      <w:r>
        <w:t>Бұл үрдістер білім беру парадигмасын өзгертуге бағытталған. Олар дәстүрлі «білім берушіден білім алушыға» ақпарат тасымалдау үлгісінен студенттің өзі белсенді рөл атқаратын, өзара әрекеттестікке негізделген ортаға көшуді көздейді. Дегенмен, зерттеулер көрсеткендей, Қазақстан жағдайында цифрлық ортаны құруға басымдық берілгенімен, дербестендіру, студентке бағытталған тәсіл және ақпараттық мәдениетті дамыту әлі толық жүзеге аспаған [7, б.10].</w:t>
      </w:r>
    </w:p>
    <w:p>
      <w:r>
        <w:t>Сондай-ақ, цифрландыру әлеуметтік өзгерістерді де тудырады. Ол студенттердің ақпаратты қабылдау, ойлау тәсілі мен коммуникативтік дағдыларына әсер етеді [8, б.2]. Дегенмен, оның кері салдары да бар. Кейбір зерттеушілер цифрлық технологиялардың шамадан тыс қолданылуы білімнің үстірт болуына, «клиптік ойлауға» («клиповое сознание») және компьютерге тәуелділікке әкелуі мүмкін екенін ескертеді [8, б.3].</w:t>
      </w:r>
    </w:p>
    <w:p>
      <w:r>
        <w:t>Сонымен, білім беруді цифрландыру — компьютерлендіруден басталып, цифрлық трансформацияға дейін жеткен күрделі, көп кезеңді үдеріс. Ол цифрлық дидактика сияқты жаңа теориялық негіздерге сүйеніп, жеке білім беру траекториясы, аралас оқыту, MOOCs және жасанды интеллект сияқты бірқатар тұрақты үрдістерді қалыптастырды. Бұл үрдістер жоғары білім берудің тиімділігін, қолжетімділігін және икемділігін арттыруға зор әлеуетке ие болғанымен, оларды сәтті енгізу технологиялық дайындықтан бөлек, педагогикалық әдіснаманы терең қайта құруды және туындайтын қауіп-қатерлерді ескеруді қажет етеді.</w:t>
      </w:r>
    </w:p>
    <w:p>
      <w:pPr>
        <w:pStyle w:val="Heading2"/>
      </w:pPr>
      <w:bookmarkStart w:id="104" w:name="_Toc_heading_4"/>
      <w:r>
        <w:t>1.2. Жоғары білім беруде қолданылатын цифрлық технологиялардың түрлері мен сипаттамалары</w:t>
      </w:r>
      <w:bookmarkEnd w:id="104"/>
    </w:p>
    <w:p>
      <w:r>
        <w:t>Жоғары білім беруді цифрлық трансформациялау — бірыңғай үдеріс емес, ол оқудың әртүрлі аспектілерін қамтитын технологиялар кешенін білдіреді. Қазіргі таңда университеттер ақпаратты жеткізумен қатар, студенттердің танымдық белсенділігін арттыруға, кері байланысты жеделдетуге және оқытуды жекелендіруге бағытталған түрлі цифрлық шешімдерді де енгізуде. Бұл технологиялардың рөлі жыл сайын артуда. Себебі олар оқытушылар мен студенттерге жаңа мүмкіндіктер ашады [1, 1-2 б.]. Зерттеушілердің пайымдауынша, цифрлық трансформация оқу үдерісінің жүйе құраушы элементтерін: форма, әдіс, мазмұнды түбегейлі өзгертеді [2, 60 б.].</w:t>
      </w:r>
    </w:p>
    <w:p>
      <w:r>
        <w:t>Оқытуды басқару жүйелері (LMS) және жаппай ашық онлайн курстар (MOOC)</w:t>
      </w:r>
    </w:p>
    <w:p>
      <w:r>
        <w:t>Оқытуды басқару жүйелері (Learning Management Systems, LMS) — заманауи университеттің цифрлық инфрақұрылымының өзегі. Бұл — оқу материалдарын орналастыру, тапсырмаларды басқару, студенттердің үлгерімін бақылау және оқытушы мен студент арасындағы қарым-қатынасты ұйымдастыруға арналған бірыңғай бағдарламалық платформа. Әлемдік тәжірибеде Moodle, Canvas, Blackboard сияқты LMS жүйелері кеңінен таралған [3, 7 б.]. Пандемияға дейін көптеген университеттер аралас оқытуды (blended learning) енгізе бастаса, 2020 жылдан кейін бұл үрдіс жаппай сипат алып, Еуропалық жоғары білім беру кеңістігіндегі оқу орындарының орта есеппен 75%-ы осы форматқа көшкені анықталды [4, 9 б.].</w:t>
      </w:r>
    </w:p>
    <w:p>
      <w:r>
        <w:t>Бұл үдеріс Қазақстанның жоғары оқу орындарын да қамтыды. 2020 жылға қарай еліміздің барлық дерлік университеттері LMS жүйелерін оқу үдерісіне енгізген [3, 11 б.]. Студенттер сауалнамасының нәтижесі бойынша, респонденттердің 51%-ы оқу барысында Moodle және Microsoft Teams сияқты платформалардың белсенді қолданылатынын растаған [5, 9 б.]. Дегенмен, оқытушылардың бұл платформаларды пайдалану деңгейі біркелкі емес. Мысалы, зерттеулерге сәйкес, шет тілі оқытушылары интерактивті сайттар мен видеоматериалдар сияқты қосымша құралдарды жиі пайдаланса, басқа пән оқытушылары негізінен электрондық-ақпараттық білім беру ортасымен (ЭАБО) ғана шектеледі [6, 4 б.].</w:t>
      </w:r>
    </w:p>
    <w:p>
      <w:r>
        <w:t>Жаппай ашық онлайн курстар (Massive Open Online Courses, MOOC) — географиялық шектеусіз, кез келген адамға арналған, интернет арқылы тегін немесе ақылы ұсынылатын оқу курстары. Coursera, edX, FutureLearn сияқты жаһандық платформаларда 1 500-ден астам университет өз курстарын ұсынады. 2021 жылы MOOC тыңдаушыларының жалпы саны 220 миллион адамға жетіп, оның 40 миллионы тек бір жылда қосылған [3, 7 б.]. Бұл үрдіс Қазақстанда да дамуда. 2017 жылы еліміздің жетекші профессорларының курстарын біріктірген «Қазақстанның ашық университеті» (OpenU.kz) жобасы іске қосылды. Сонымен қатар 2020 жылға қарай 5 мыңнан астам тыңдаушысы бар «Ашық білім берудің ұлттық платформасы» (MOOCs.kz) құрылып, кейбір университеттер «Металлургия студенттеріне арналған кәсіби ағылшын тілі» (Professional English for Metallurgy Students) сияқты нақты мамандықтарға бейімделген жеке MOOC курстарын әзірлей бастады [3, 11 б.; 7, 49 б.].</w:t>
      </w:r>
    </w:p>
    <w:p>
      <w:r>
        <w:t>Электрондық оқыту құралдарының дидактикалық жіктемесі</w:t>
      </w:r>
    </w:p>
    <w:p>
      <w:r>
        <w:t>Цифрлық технологиялардың педагогикалық тиімділігі олардың дидактикалық мақсатына тікелей байланысты. Платформаның болуы жеткіліксіз. Маңыздысы — оның ішіндегі оқу мазмұны мен құралдарының атқаратын міндеті. Осыған орай, зерттеушілер электрондық оқыту құралдарын методикалық мақсатына қарай бірнеше түрге жіктейді [8, 10-11 б.], бұл олардың оқу үдерісіндегі рөлін нақты түсінуге мүмкіндік береді:</w:t>
      </w:r>
    </w:p>
    <w:p>
      <w:r>
        <w:t>Оқытушы бағдарламалық құралдар — білім мен дағдыларды беру және кері байланыс арқылы оның меңгерілу деңгейін қамтамасыз ету.</w:t>
      </w:r>
    </w:p>
    <w:p>
      <w:r>
        <w:t>Тренажер-бағдарламалар — белгілі бір біліктер мен дағдыларды пысықтауға, өздік жұмысты ұйымдастыруға арналған, көбіне өткен материалды қайталау немесе бекіту үшін қолданылады.</w:t>
      </w:r>
    </w:p>
    <w:p>
      <w:r>
        <w:t>Бақылаушы бағдарламалық құралдар — оқу материалын меңгеру деңгейін тексеруге арналған тесттер мен бақылау жұмыстары.</w:t>
      </w:r>
    </w:p>
    <w:p>
      <w:r>
        <w:t>Ақпараттық-іздеу және анықтамалық құралдар — қажетті ақпаратты таңдауға, сұрыптауға және шығаруға мүмкіндік беріп, ақпаратты жүйелеу дағдыларын қалыптастырады.</w:t>
      </w:r>
    </w:p>
    <w:p>
      <w:r>
        <w:t>Имитациялық бағдарламалық құралдар — белгілі бір құбылыстың немесе шындықтың аспектісін шектеулі параметрлер арқылы зерттеуге мүмкіндік беретін симуляциялар.</w:t>
      </w:r>
    </w:p>
    <w:p>
      <w:r>
        <w:t>Модельдеуші бағдарламалық құралдар — нысанның, құбылыстың немесе үдерістің моделін жасап, оны зерттеуге арналған.</w:t>
      </w:r>
    </w:p>
    <w:p>
      <w:r>
        <w:t>Демонстрациялық құралдар — оқу материалын көрнекі түрде ұсынуға, зерттелетін үдерістерді визуализациялауға бағытталған (мысалы, презентациялар, видеолар).</w:t>
      </w:r>
    </w:p>
    <w:p>
      <w:r>
        <w:t>Оқу-ойын бағдарламалары — оқу жағдаяттарын ойын түрінде «ойнату» арқылы оңтайлы шешім қабылдау дағдыларын қалыптастыруға көмектеседі.</w:t>
      </w:r>
    </w:p>
    <w:p>
      <w:r>
        <w:t>Бұл жіктелім — оқу мақсаттарына сай цифрлық технологияларды саналы таңдаудың негізі.</w:t>
      </w:r>
    </w:p>
    <w:p>
      <w:r>
        <w:t>Иммерсивті технологиялар: виртуалды (VR) және толықтырылған (AR) шындық</w:t>
      </w:r>
    </w:p>
    <w:p>
      <w:r>
        <w:t>Иммерсивті технологиялар — пайдаланушыны толықтай немесе жартылай виртуалды ортаға енгізіп, оқу үдерісіне жаңа өлшем қосатын технологиялар. Виртуалды шындық (Virtual Reality, VR) пайдаланушыны компьютерде жасалған әлемге толық батырса, толықтырылған шындық (Augmented Reality, AR) нақты әлемге цифрлық элементтерді қосады, бұл әсіресе медицина, инженерия, сәулет, тарих сияқты тәжірибелік дағдыларды қажет ететін салаларда тиімді. Болжамдар нақты. 2025 жылы әлем бойынша 15 миллион оқушы VR/AR технологияларын пайдаланатын болады [3, 9 б.].</w:t>
      </w:r>
    </w:p>
    <w:p>
      <w:r>
        <w:t>Озық университеттер бұл технологияларды белсенді түрде қолданысқа енгізуде. Мысалы, Мэриленд университетінде студенттер AR технологиясы арқылы адам ағзаларын 3D-форматта зерттесе, Оңтүстік Калифорния университетінде тарихшылар студенттерді тарихи оқиғалардың VR-реконструкциясына «батырады», ал Канададағы МакМастер университеті инженерлік практикумдар үшін VR-тренажерлерді қолданады [3, 9 б.]. Халықаралық ақпараттық технологиялар университетінде физика және радиотехника пәндері бойынша VR және AR технологияларын қолданатын цифрлық білім беру платформасы әзірленген. Зерттеушілердің пікірінше, мұндай технологиялар оқу материалын жақсы түсінуге және есте сақтауға, сондай-ақ оқу үдерісіне ойын элементін қосу арқылы студенттердің ынтасын арттыруға ықпал етеді [7, 52 б.].</w:t>
      </w:r>
    </w:p>
    <w:p>
      <w:r>
        <w:t>Жасанды интеллект (AI) және бейімделгіш оқыту жүйелері</w:t>
      </w:r>
    </w:p>
    <w:p>
      <w:r>
        <w:t>Жасанды интеллект (AI) жоғары білім беру саласын түбегейлі өзгертуге қабілетті технология ретінде қарастырылады. Оның әлеуеті зор. Қолдану аясы әкімшілік үдерістерді автоматтандырудан бастап, оқытуды толықтай жекелендіруге дейін созылады, мәселен, университет менеджментінде AI электронды қабылдау комиссиясын, сабақ кестесін құруды және оқытушылардың жүктемесін талдауды автоматтандыра алады [2, 60 б.].</w:t>
      </w:r>
    </w:p>
    <w:p>
      <w:r>
        <w:t>Оқу үдерісінде AI негізіндегі бейімделгіш жүйелер (adaptive systems) студенттің жеке ерекшеліктерін (білім деңгейі, оқу қарқыны, ақпаратты қабылдау стилі) ескере отырып, оқу траекториясын реттейді [9, 26-27 б.]. Бұл тәжірибе әлемде бар. Мәселен, Еуропада Century Tech платформасы студенттерге жеке оқу мазмұнын ұсынса, Джорджия штатының университеті талапкерлерге кеңес беретін AI чат-боттарын енгізген [3, 8 б.]. Соңғы жылдары GPT-4, Microsoft Copilot және Google Gemini сияқты генеративті AI модельдерінің пайда болуы үрдісті одан әрі жеделдетті; соның нәтижесінде Оңтүстік Флорида сияқты университеттер бұл құралдарды оқу үдерісіне кіріктіріп, барлық студенттер мен оқытушыларға тең қолжетімділік ұсынып отыр [3, 8 б.].</w:t>
      </w:r>
    </w:p>
    <w:p>
      <w:pPr>
        <w:ind w:firstLine="0"/>
        <w:jc w:val="center"/>
      </w:pPr>
      <w:r>
        <w:drawing>
          <wp:inline xmlns:a="http://schemas.openxmlformats.org/drawingml/2006/main" xmlns:pic="http://schemas.openxmlformats.org/drawingml/2006/picture">
            <wp:extent cx="5040000" cy="2940000"/>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5040000" cy="2940000"/>
                    </a:xfrm>
                    <a:prstGeom prst="rect"/>
                  </pic:spPr>
                </pic:pic>
              </a:graphicData>
            </a:graphic>
          </wp:inline>
        </w:drawing>
      </w:r>
    </w:p>
    <w:p>
      <w:pPr>
        <w:ind w:firstLine="0"/>
        <w:jc w:val="center"/>
      </w:pPr>
      <w:r>
        <w:rPr>
          <w:i/>
          <w:sz w:val="20"/>
        </w:rPr>
        <w:t>Сурет 1. Әлем елдеріндегі жасанды интеллектіні қолданатын университеттердің шамамен алынған саны (2024–2025 жж.)</w:t>
      </w:r>
    </w:p>
    <w:p>
      <w:pPr>
        <w:spacing w:after="320"/>
        <w:ind w:firstLine="0"/>
        <w:jc w:val="center"/>
      </w:pPr>
      <w:r>
        <w:rPr>
          <w:i/>
          <w:sz w:val="18"/>
        </w:rPr>
        <w:t>Дереккөз: (Актымбаева 2025, 8-б.)</w:t>
      </w:r>
    </w:p>
    <w:p>
      <w:r>
        <w:t>Жоғарыдағы 1-диаграммада көрсетілгендей, AI технологияларын енгізуде 300-ден астам оқу орнымен АҚШ көш бастап тұрса, Қытайда бұл көрсеткіш 150-ден, ал Австралия мен Германияда сәйкесінше 40 және 30-дан асады [3, 8 б.]. Айырмашылық айқын. Бұл деректер жасанды интеллектінің білім берудегі жаһандық трендке айналғанын растайды.</w:t>
      </w:r>
    </w:p>
    <w:p>
      <w:r>
        <w:t>Қорыта айтқанда, қазіргі жоғары білім беруде қолданылатын цифрлық технологиялар көпқырлы әрі әртүрлі. LMS және MOOC сияқты платформалық шешімдер білімге қолжетімділікті қамтамасыз етсе, VR/AR және AI сияқты озық технологиялар оқу үдерісінің мазмұны мен әдістемесін тереңірек өзгертіп, оны әрбір студент үшін жекелендірілген, интерактивті және тиімді етуге бағытталған. Бұл құралдардың табысты енгізілуі техникалық инфрақұрылымға да, оларды қолданатын педагогтардың цифрлық құзыреттілігіне де тікелей байланысты.</w:t>
      </w:r>
    </w:p>
    <w:p>
      <w:pPr>
        <w:pStyle w:val="Heading2"/>
      </w:pPr>
      <w:bookmarkStart w:id="105" w:name="_Toc_heading_5"/>
      <w:r>
        <w:t>1.3. Оқу үдерісінде цифрлық технологияларды қолданудың педагогикалық шарттары</w:t>
      </w:r>
      <w:bookmarkEnd w:id="105"/>
    </w:p>
    <w:p>
      <w:r>
        <w:t>Жоғары білім беруді цифрландыру — күрделі үдеріс. Ол тек жаңа техникалық құралдар мен бағдарламалық жасақтаманы енгізумен шектелмейді. Цифрлық технологиялардың оқу үдерісіне тиімді интеграциялануы бірқатар педагогикалық шарттардың орындалуын талап етеді, себебі технологияның өзі педагогикалық мақсаттарға жетудің құралы ғана болғандықтан, оқытудың мазмұны, әдістері мен ұйымдастыру формаларындағы өзгерістер бірінші орынға шығады. Демек, цифрлық технологияларды сәтті қолдану оқытушылар мен білім алушылардың жаңа рөлдерге бейімделуін, оқу үдерісін түбегейлі қайта құруды және тиісті педагогикалық ортаны қалыптастыруды қажет етеді.</w:t>
      </w:r>
    </w:p>
    <w:p>
      <w:r>
        <w:t>Цифрлық білім беру аясында жаңа ұғымдар қалыптасты. Олар — «цифрлық педагогика» және «цифрлық дидактика». Цифрлық дидактика — оқытудың интегративті-құзыреттілік тәсілін жүзеге асыруға және кәсіби құзыреттіліктерді қалыптастыруға мүмкіндік беретін цифрлық білім беру технологиялары, оқыту әдістері мен электрондық ресурстар кешенін құрастыру үдерісі [3, б.81]. Бұл — дәстүрлі педагогикалық принциптерді цифрлық ортаның мүмкіндіктерімен ұштастыра отырып, оқыту мен оқудың жаңаша көзқарасын ұсынатын сала. Оның негізгі мақсаты — технологияны қолдану арқылы оқу үдерісін тиімдірек, қызықтырақ әрі жеке тұлғаға бағытталған ету [10, б.4].</w:t>
      </w:r>
    </w:p>
    <w:p>
      <w:r>
        <w:t>Цифрлық технологиялардың толыққанды педагогикалық құралға айналуы үшін бірнеше негізгі шарт орындалуы қажет. Олар оқу үдерісінің барлық компонентін: мазмұн, әдістеме, бағалау және қатысушылардың өзара әрекетін қамтиды. Бірінші шарт — оқыту мазмұны мен әдістерін педагогикалық мақсаттарға сай қайта құру. Технологияны қолдану — өз алдына мақсат емес. Оқытушы алдымен педагогикалық мақсатты анықтап, содан кейін сол мақсатқа жетуге көмектесетін технологияны таңдауы керек [10, б.4]. Мысалы, дәстүрлі дәрісті жай ғана бейнежазбаға айналдыру цифрлық трансформацияға жатпайды, ал шынайы өзгеріс «аударылған сынып», жобаға негізделген оқыту, зерттеушілік қызметті ұйымдастыру сияқты белсенді әдістерді қолданғанда басталады [4; 11]. Мұндай әдістер студенттердің теориялық материалды өз бетінше игеріп, аудиторияда практикалық тапсырмалар мен талқылауларға көбірек уақыт бөлуіне мүмкіндік береді, осылайша технологиялар танымдық белсенділікті арттыратын құралға айналады.</w:t>
      </w:r>
    </w:p>
    <w:p>
      <w:r>
        <w:t>Екіншіден, оқу үдерісін жекелендіру және даралау маңызды. Цифрлық технологиялар әр студенттің жеке қажеттілігіне, оқу қарқыны мен стиліне бейімделген білім беру траекторияларын құруға жол ашады. Мәселен, адаптивті оқыту жүйелері студенттің білім деңгейін талдап, соған сәйкес тапсырмалар мен материалдар ұсынады [4, б.26]. Жаппай ашық онлайн курстар, электронды кітапханалар және түрлі білім беру платформалары студенттерге өздеріне ыңғайлы уақытта және жерде білім алуға мүмкіндік береді [2, б.7]. Бұл — маңызды артықшылық. Л.Н. Гумилев атындағы Еуразия ұлттық университетінде жүргізілген сауалнамада студенттердің 80%-ы цифрландырудың басты артықшылығы ретінде оқудың жеке траекториясын құру мүмкіндігін атап өткен [2, б.7].</w:t>
      </w:r>
    </w:p>
    <w:p>
      <w:r>
        <w:t>Үшіншіден, коллаборативті оқу ортасын қалыптастыру қажет. Заманауи цифрлық құралдар студенттердің бір-бірімен және оқытушымен бірлесіп жұмыс істеуіне кең мүмкіндіктер жасайды. Коллаборация — білім беру процесі субъектілері арасындағы байланыстың желілік сипатын қамтамасыз ететін педагогикалық өзара әрекеттестіктің кооперативтік формасы [12, б.9]. Желілік жобалар, ортақ құжаттарды редакциялау, форумдар мен чаттардағы талқылаулар студенттердің командада жұмыс істеу, пікір алмасу және ортақ шешім қабылдау дағдыларын дамытады [4, б.26]. Бұл үдеріс оқушылардың танымы мен оқуға қатысуын арттырады [5, б.8].</w:t>
      </w:r>
    </w:p>
    <w:p>
      <w:r>
        <w:t>Төртіншіден, бағалау жүйесін трансформациялау керек. Цифрлық орта дәстүрлі бақылаушы бағалаудан үздіксіз, диагностикалық-қалыптастырушы бағалауға көшуге жағдай жасайды. Бұл өте маңызды. Цифрлық құралдар студенттің тапсырманы орындау барысы туралы лездік кері байланыс беріп, оның мықты және әлсіз жақтарын анықтайды, сондай-ақ жіберілген қателіктерді түзетуге бағытталған ұсыныстар береді [4, б.24]. Бұл студенттің қателесуге және оны түзетуге құқығы бар екенін мойындайтын, репрессивті емес бағалау мәдениетін қалыптастырады. Сонымен қатар, онлайн-тестілеу, портфолио және басқа да цифрлық әдістер бағалаудың объективтілігі мен ашықтығын арттырады.</w:t>
      </w:r>
    </w:p>
    <w:p>
      <w:r>
        <w:t>Цифрлық технологиялардың енуі оқу үдерісінің негізгі субъектілері — оқытушы мен студенттің рөлдерін түбегейлі өзгертеді. Дәстүрлі модельдегі «білімнің жалғыз көзі» болған оқытушы енді оқу үдерісін ұйымдастырушы, бағыттаушы және дизайнерге айналады. Оның жаңа рөлдері сан алуан. Ақпарат мол заманда оқытушы фасилитатор және модератор ретінде студенттерді қажетті ақпаратты табуға, сыни тұрғыдан бағалауға және қолдануға үйретеді [10, б.5]. Ол талқылаулар ұйымдастырып, студенттердің бірлескен жұмысын бағыттайды. Бұған қоса, оқытушы оқу тәжірибесінің дизайнері ретінде білім беру мақсаттарына сәйкес мазмұнды, тапсырмаларды, бағалау критерийлерін және технологияларды таңдап, тиімді оқу ортасын жобалайды [11, б.9]. Бұл педагогикалық дизайн құзыреттілігін талап етеді. Сондай-ақ интернеттегі ақпараттың сапасы әртүрлі болғандықтан, оқытушы куратор және сарапшы ретінде студенттерге сенімді әрі ғылыми негізделген ресурстарды іріктеп ұсынады [10, б.5].</w:t>
      </w:r>
    </w:p>
    <w:p>
      <w:r>
        <w:t>Бұл өзгерістер оқытушылардан үздіксіз кәсіби дамуды және жаңа цифрлық құзыреттіліктерді меңгеруді талап етеді. Шынында да, оқытушылардың цифрлық сауаттылығының төмендігі — технологияларды енгізудегі негізгі кедергілердің бірі [13, б.3]. Дегенмен, студенттер оқытушының рөлі жойылады деп есептемейді. Калининград мемлекеттік техникалық университетінде жүргізілген сауалнама нәтижелері көрсеткендей, студенттердің басым көпшілігі вебинарлар мен онлайн курстар оқытушыны толық алмастыра алмайтынын, бірақ оның жұмысын толықтырып, шығармашылыққа уақыт босататынын айтқан [14, б.6].</w:t>
      </w:r>
    </w:p>
    <w:p>
      <w:r>
        <w:t>Студент те енді білімді пассивті қабылдаушы емес, оқу үдерісінің белсенді қатысушысына айналады. Біріншіден, цифрлық орта студентке өз оқуына жауапкершілікті алуға мүмкіндік береді, яғни ол белсенді білім алушы ретінде өз бетінше ақпарат іздейді, материалды меңгеру қарқынын өзі реттейді және қосымша ресурстарды пайдаланады [13, б.2]. Екіншіден, жобалық және зерттеу жұмыстарында студенттер жаңа білімді бірлесіп жасаушы ретінде оны құрастыруға тікелей қатысады [10, б.5]. Үшіншіден, қашықтан және аралас оқыту форматтары студенттен жоғары деңгейдегі өзін-өзі ұйымдастыруды, уақытты басқаруды және өзін-өзі реттеуші оқушы болуды талап етеді [15, б.3].</w:t>
      </w:r>
    </w:p>
    <w:p>
      <w:r>
        <w:t>Алайда, бұл рөлдерге көшу студенттер үшін де бірқатар қиындықтар тудырады. Оның себептері көп. Студенттер арасында жүргізілген сауалнамалар мұның бірнеше себебін көрсетеді (1-кесте).</w:t>
      </w:r>
    </w:p>
    <w:p>
      <w:r>
        <w:t>1-кесте. Студенттердің қашықтан оқу кезіндегі білім сапасы мен құзыреттіліктің қалыптасуын бағалауы</w:t>
      </w:r>
    </w:p>
    <w:tbl>
      <w:tblPr>
        <w:tblStyle w:val="TableGrid"/>
        <w:tblW w:type="auto" w:w="0"/>
        <w:tblLayout w:type="autofit"/>
        <w:tblLook w:firstColumn="1" w:firstRow="1" w:lastColumn="0" w:lastRow="0" w:noHBand="0" w:noVBand="1" w:val="04A0"/>
      </w:tblPr>
      <w:tblGrid>
        <w:gridCol w:w="2409"/>
        <w:gridCol w:w="2409"/>
        <w:gridCol w:w="2409"/>
        <w:gridCol w:w="2409"/>
      </w:tblGrid>
      <w:tr>
        <w:tc>
          <w:tcPr>
            <w:tcW w:type="dxa" w:w="2409"/>
          </w:tcPr>
          <w:p>
            <w:r>
              <w:rPr>
                <w:rFonts w:ascii="Times New Roman" w:hAnsi="Times New Roman"/>
                <w:b/>
                <w:sz w:val="28"/>
              </w:rPr>
              <w:t>Сұрақтар</w:t>
            </w:r>
          </w:p>
        </w:tc>
        <w:tc>
          <w:tcPr>
            <w:tcW w:type="dxa" w:w="2409"/>
          </w:tcPr>
          <w:p>
            <w:r>
              <w:rPr>
                <w:rFonts w:ascii="Times New Roman" w:hAnsi="Times New Roman"/>
                <w:b/>
                <w:sz w:val="28"/>
              </w:rPr>
              <w:t>Төмен</w:t>
            </w:r>
          </w:p>
        </w:tc>
        <w:tc>
          <w:tcPr>
            <w:tcW w:type="dxa" w:w="2409"/>
          </w:tcPr>
          <w:p>
            <w:r>
              <w:rPr>
                <w:rFonts w:ascii="Times New Roman" w:hAnsi="Times New Roman"/>
                <w:b/>
                <w:sz w:val="28"/>
              </w:rPr>
              <w:t>Орташа</w:t>
            </w:r>
          </w:p>
        </w:tc>
        <w:tc>
          <w:tcPr>
            <w:tcW w:type="dxa" w:w="2409"/>
          </w:tcPr>
          <w:p>
            <w:r>
              <w:rPr>
                <w:rFonts w:ascii="Times New Roman" w:hAnsi="Times New Roman"/>
                <w:b/>
                <w:sz w:val="28"/>
              </w:rPr>
              <w:t>Жоғары</w:t>
            </w:r>
          </w:p>
        </w:tc>
      </w:tr>
      <w:tr>
        <w:tc>
          <w:tcPr>
            <w:tcW w:type="dxa" w:w="2409"/>
          </w:tcPr>
          <w:p>
            <w:r>
              <w:rPr>
                <w:rFonts w:ascii="Times New Roman" w:hAnsi="Times New Roman"/>
                <w:sz w:val="28"/>
              </w:rPr>
              <w:t>Жеке көзқарас бойынша қашықтан оқу кезіндегі білім сапасы</w:t>
            </w:r>
          </w:p>
        </w:tc>
        <w:tc>
          <w:tcPr>
            <w:tcW w:type="dxa" w:w="2409"/>
          </w:tcPr>
          <w:p>
            <w:r>
              <w:rPr>
                <w:rFonts w:ascii="Times New Roman" w:hAnsi="Times New Roman"/>
                <w:sz w:val="28"/>
              </w:rPr>
              <w:t>24,5%</w:t>
            </w:r>
          </w:p>
        </w:tc>
        <w:tc>
          <w:tcPr>
            <w:tcW w:type="dxa" w:w="2409"/>
          </w:tcPr>
          <w:p>
            <w:r>
              <w:rPr>
                <w:rFonts w:ascii="Times New Roman" w:hAnsi="Times New Roman"/>
                <w:sz w:val="28"/>
              </w:rPr>
              <w:t>48%</w:t>
            </w:r>
          </w:p>
        </w:tc>
        <w:tc>
          <w:tcPr>
            <w:tcW w:type="dxa" w:w="2409"/>
          </w:tcPr>
          <w:p>
            <w:r>
              <w:rPr>
                <w:rFonts w:ascii="Times New Roman" w:hAnsi="Times New Roman"/>
                <w:sz w:val="28"/>
              </w:rPr>
              <w:t>27,5%</w:t>
            </w:r>
          </w:p>
        </w:tc>
      </w:tr>
      <w:tr>
        <w:tc>
          <w:tcPr>
            <w:tcW w:type="dxa" w:w="2409"/>
          </w:tcPr>
          <w:p>
            <w:r>
              <w:rPr>
                <w:rFonts w:ascii="Times New Roman" w:hAnsi="Times New Roman"/>
                <w:sz w:val="28"/>
              </w:rPr>
              <w:t>Жеке көзқарас бойынша қашықтан оқу кезіндегі құзыреттілік деңгейінің қалыптасуы</w:t>
            </w:r>
          </w:p>
        </w:tc>
        <w:tc>
          <w:tcPr>
            <w:tcW w:type="dxa" w:w="2409"/>
          </w:tcPr>
          <w:p>
            <w:r>
              <w:rPr>
                <w:rFonts w:ascii="Times New Roman" w:hAnsi="Times New Roman"/>
                <w:sz w:val="28"/>
              </w:rPr>
              <w:t>45,5%</w:t>
            </w:r>
          </w:p>
        </w:tc>
        <w:tc>
          <w:tcPr>
            <w:tcW w:type="dxa" w:w="2409"/>
          </w:tcPr>
          <w:p>
            <w:r>
              <w:rPr>
                <w:rFonts w:ascii="Times New Roman" w:hAnsi="Times New Roman"/>
                <w:sz w:val="28"/>
              </w:rPr>
              <w:t>29%</w:t>
            </w:r>
          </w:p>
        </w:tc>
        <w:tc>
          <w:tcPr>
            <w:tcW w:type="dxa" w:w="2409"/>
          </w:tcPr>
          <w:p>
            <w:r>
              <w:rPr>
                <w:rFonts w:ascii="Times New Roman" w:hAnsi="Times New Roman"/>
                <w:sz w:val="28"/>
              </w:rPr>
              <w:t>25,5%</w:t>
            </w:r>
          </w:p>
        </w:tc>
      </w:tr>
    </w:tbl>
    <w:p/>
    <w:p>
      <w:r>
        <w:t>Дереккөз: Сүлейменова (2022, 6-б.) негізінде құрастырылды.</w:t>
      </w:r>
    </w:p>
    <w:p>
      <w:r>
        <w:t>Кестеде көрсетілгендей, студенттердің едәуір бөлігі қашықтан оқу форматында білім сапасы мен кәсіби құзыреттіліктердің қалыптасу деңгейін жоғары деп бағаламайды. Респонденттердің 45,5%-ы құзыреттіліктің қалыптасу деңгейін «төмен» деп санаған. Бұған бірнеше фактор әсер етеді: еліміздің әр өңіріндегі интернет жылдамдығының әртүрлілігі, қазақ тіліндегі сапалы электронды оқулықтар мен ресурстардың аздығы, оқытушымен және курстастарымен тікелей қарым-қатынастың болмауы, сондай-ақ ақпараттық қауіпсіздік мәселелері [2, б.6-7]. Сонымен қатар, цифрлық құралдарды шамадан тыс пайдалану студенттердің бетпе-бет қарым-қатынасын азайтып, экранға тәуелділікке әкелуі мүмкін [13, б.3].</w:t>
      </w:r>
    </w:p>
    <w:p>
      <w:r>
        <w:t>Осыған байланысты, көптеген зерттеуші таза онлайн немесе таза офлайн форматтан гөрі, екеуінің артықшылықтарын біріктіретін аралас оқыту моделінің тиімдірек екенін атап көрсетеді [7; 6]. Аралас оқыту — дәстүрлі аудиториялық сабақтар мен цифрлық технологияларға негізделген онлайн оқыту элементтерін ұштастыратын педагогикалық тәсіл. Бұл модель технологияның мүмкіндіктерін пайдалана отырып, оқытушы мен студент арасындағы тірі қарым-қатынастың маңыздылығын сақтауға мүмкіндік береді. Дұрыс ұйымдастырылған педагогикалық шарттар аясында цифрлық технологиялар білім беру сапасын арттырудың, бәсекеге қабілетті мамандар даярлаудың және оқу үдерісін заман талабына сай жаңғыртудың қуатты құралына айналады.</w:t>
      </w:r>
    </w:p>
    <w:p>
      <w:r>
        <w:br w:type="page"/>
      </w:r>
    </w:p>
    <w:p>
      <w:pPr>
        <w:pStyle w:val="Heading1"/>
      </w:pPr>
      <w:bookmarkStart w:id="106" w:name="_Toc_heading_6"/>
      <w:r>
        <w:t>2-ТАРАУ. ЖОҒАРЫ ОҚУ ОРЫНДАРЫНЫҢ ОҚУ ҮДЕРІСІН ЦИФРЛАНДЫРУДЫҢ ХАЛЫҚАРАЛЫҚ ЖӘНЕ ОТАНДЫҚ ТӘЖІРИБЕСІН ТАЛДАУ</w:t>
      </w:r>
      <w:bookmarkEnd w:id="106"/>
    </w:p>
    <w:p>
      <w:pPr>
        <w:pStyle w:val="Heading2"/>
      </w:pPr>
      <w:bookmarkStart w:id="107" w:name="_Toc_heading_7"/>
      <w:r>
        <w:t>2.1. Дамыған елдердің жоғары оқу орындарында цифрлық технологияларды енгізу тәжірибесі</w:t>
      </w:r>
      <w:bookmarkEnd w:id="107"/>
    </w:p>
    <w:p>
      <w:r>
        <w:t>Жоғары білім беруді цифрлық трансформациялау — бүкіл әлемдегі университеттер үшін стратегиялық басымдыққа айналған жаһандық үрдіс. Бұл үдеріс мемлекеттік деңгейде белсенді қолдау тауып, білім беру жүйесін түбегейлі өзгертуге бағытталған. COVID-19 пандемиясы бұл үдерісті одан әрі жеделдетіп, көптеген оқу орындарын онлайн және гибридті форматтарға көшуге мәжбүрледі, бұл инновациялық тәсілдердің кеңінен таралуына ықпал етті [Актымбаева 2025, 2 б.]. Осы үрдістің айқын көрсеткіштерінің бірі — жаппай ашық онлайн-курстардың (MOOC) қарқынды дамуы. Егер 2012 жылы бұл сала енді ғана қалыптасып келе жатса, 2021 жылға қарай MOOC тыңдаушыларының жалпы саны 220 миллион адамға жетті, оның 40 миллионы тек 2021 жылдың өзінде қосылған [Актымбаева 2025, 3 б.]. Дамыған елдердің тәжірибесін талдау цифрландырудың негізгі бағыттарын, жетістіктері мен кездесетін қиындықтарын анықтауға мүмкіндік береді.</w:t>
      </w:r>
    </w:p>
    <w:p>
      <w:r>
        <w:t>Америка Құрама Штаттарында цифрлық білім беруді дамытудың ерекше моделі қалыптасқан. Мұнда федералдық үкімет тікелей цифрлық құралдарды әзірлеп, басқармайды, оның орнына штаттар мен университеттердің цифрлық экожүйелерді дамытуына түрлі қаржыландыру бағдарламалары арқылы қолдау көрсетеді [Ca- Nguyen Duc 2025, 3 б.]. Нәтижесінде цифрландыру екі негізгі бағытта дамып келеді. Бірінші бағыт — Стэнфорд, Гарвард сияқты элиталық университеттер дәстүрлі күндізгі оқумен ұштастырылған эксклюзивті онлайн-білім беру модельдерін жасайды. Екінші бағыт — коммерциялық университеттер жаппай онлайн оқыту арқылы білім беру қызметтерін ұсынады, бұл білім сапасын реттеуде белгілі бір икемділік береді [Круглова 2020, 2-4 б.]. АҚШ университеттері жасанды интеллектіні белсенді қолданады. Мысалы, Джорджия штатының университеті талапкерлерге кеңес беру үшін чат-боттарды енгізсе, Мэриленд университетінде студенттер анатомияны оқу үшін толықтырылған шындық (AR) технологияларын пайдаланып, адам ағзаларын 3D форматында көре алады [Актымбаева 2025, 5 б.]. Дегенмен, Global Education Futures сарапшыларының талдауы АҚШ-та «білім берудегі цифрлық революция әлі болған жоқ» деген қорытындыға келеді, оның негізгі себебі ретінде оқытушылар мен білім беру жүйесі басшыларының инновацияларға дайын еместігі, яғни «адами фактор» аталады [Круглова 2020, 2-4 б.].</w:t>
      </w:r>
    </w:p>
    <w:p>
      <w:r>
        <w:t>Еуропа елдерінде цифрландыру бірыңғай стандарттар мен ұлттық бастамалар аясында жүргізілуде. Көптеген университеттер Moodle, Canvas сияқты оқытуды басқару жүйелерін (LMS) енгізген, сондай-ақ Франциядағы FUN, Ұлыбританиядағы FutureLearn сияқты ұлттық MOOC-платформалары құрылған [Актымбаева 2025, 3 б.]. Сапаны қамтамасыз ету мәселесіне ерекше назар аударылады. Еуропалық жоғары білім беру кеңістігіндегі сапаны қамтамасыз ету стандарттары мен нұсқаулықтары (ESG) цифрлық оқытуды қамту үшін қайта қарастырылуда [Association of African Universities n.d., 28-30 б.]. Оқытушылардың цифрлық құзыреттілігін арттыру мақсатында Еуропалық комиссия DigCompEdu деп аталатын арнайы құрылым әзірледі. Осы құрылым негізінде Испания мен Германия сияқты елдерде университет оқытушылары үшін тренингтер өткізіліп, мысалы, Испанияда 2021 жылы 2000-нан астам оқытушы цифрлық құзыреттілік бойынша сертификатталған [Актымбаева 2025, 5 б.]. Алайда Еуропада да қиындықтар жоқ емес. Мәселен, Германияның экономикалық қуаты мен дамыған инфрақұрылымына қарамастан, білім берудегі цифрландыру күрделі процесс болып отыр. Негізгі мәселе — үйлестірудің болмауы. Жоғары білім беруге 16 федералды жер жауапты болғандықтан, институтционалдық және аймақтық деңгейде үйлесімді цифрлық жүйелерді құру қиындық тудырады [Ca- Nguyen Duc 2025, 10-11 б.].</w:t>
      </w:r>
    </w:p>
    <w:p>
      <w:pPr>
        <w:ind w:firstLine="0"/>
        <w:jc w:val="center"/>
      </w:pPr>
      <w:r>
        <w:drawing>
          <wp:inline xmlns:a="http://schemas.openxmlformats.org/drawingml/2006/main" xmlns:pic="http://schemas.openxmlformats.org/drawingml/2006/picture">
            <wp:extent cx="5040000" cy="2940000"/>
            <wp:docPr id="2" name="Picture 2"/>
            <wp:cNvGraphicFramePr>
              <a:graphicFrameLocks noChangeAspect="1"/>
            </wp:cNvGraphicFramePr>
            <a:graphic>
              <a:graphicData uri="http://schemas.openxmlformats.org/drawingml/2006/picture">
                <pic:pic>
                  <pic:nvPicPr>
                    <pic:cNvPr id="0" name="image.png"/>
                    <pic:cNvPicPr/>
                  </pic:nvPicPr>
                  <pic:blipFill>
                    <a:blip r:embed="rId10"/>
                    <a:stretch>
                      <a:fillRect/>
                    </a:stretch>
                  </pic:blipFill>
                  <pic:spPr>
                    <a:xfrm>
                      <a:off x="0" y="0"/>
                      <a:ext cx="5040000" cy="2940000"/>
                    </a:xfrm>
                    <a:prstGeom prst="rect"/>
                  </pic:spPr>
                </pic:pic>
              </a:graphicData>
            </a:graphic>
          </wp:inline>
        </w:drawing>
      </w:r>
    </w:p>
    <w:p>
      <w:pPr>
        <w:ind w:firstLine="0"/>
        <w:jc w:val="center"/>
      </w:pPr>
      <w:r>
        <w:rPr>
          <w:i/>
          <w:sz w:val="20"/>
        </w:rPr>
        <w:t>Сурет 2. Кейбір елдерде жасанды интеллектіні қолданатын университеттердің шамамен саны (2024-2025 жж.)</w:t>
      </w:r>
    </w:p>
    <w:p>
      <w:pPr>
        <w:spacing w:after="320"/>
        <w:ind w:firstLine="0"/>
        <w:jc w:val="center"/>
      </w:pPr>
      <w:r>
        <w:rPr>
          <w:i/>
          <w:sz w:val="18"/>
        </w:rPr>
        <w:t>Дереккөз: (Актымбаева 2025, 5 б.)</w:t>
      </w:r>
    </w:p>
    <w:p>
      <w:r>
        <w:t>Оңтүстік-Шығыс Азияның дамыған елдері — Сингапур, Оңтүстік Корея және Қытай — цифрлық білім беруде айтарлықтай жетістіктерге жетті. Бұл елдерде оқытушылардың біліктілігін арттыруға бағытталған ұлттық бағдарламалар бар, мысалы, Сингапур мен Оңтүстік Кореядағы ICT Masterplans жобалары [Актымбаева 2025, 5 б.]. Аймақта иммерсивті технологияларға үлкен көңіл бөлінеді. Қытайдың Нанкай университеті виртуалды аудиториялары бар елдегі алғашқы метауниверситет журналистика мектебін ашты. Сонымен бірге, Гонконг ғылым және технологиялар университеті әлемдегі алғашқы «физикалық-цифрлық» егіз-кампус құруда, онда Гонконг пен Гуанчжоудағы студенттер аралас шындықта бірге сабаққа қатыса алады [Актымбаева 2025, 5 б.]. ASEAN аймағында университеттердің цифрлық мүмкіндіктерін арттыруға, киберқауіпсіздікті қамтамасыз етуге және стандарттауға бағытталған AUN Digital Transformation (AUN Dx) сияқты аймақтық бастамалар іске асырылуда [Association of African Universities n.d., 28-30 б.]. Бұл тәжірибелер цифрлық технологиялардың тұтас аймақ деңгейінде жүйелі түрде енгізіліп жатқанын көрсетеді.</w:t>
      </w:r>
    </w:p>
    <w:p>
      <w:r>
        <w:t>Дамыған елдердің тәжірибесінен бірнеше ортақ үрдіс пен қиындық байқалады.</w:t>
      </w:r>
    </w:p>
    <w:p>
      <w:r>
        <w:t>Біріншіден, технологияларды енгізу оқытушылардың дайындығын талап етеді. COVID-19 пандемиясы басталғанға дейін АҚШ-та оқытушылардың 41%-ы онлайн оқыту әдістемесі бойынша ресми дайындықтан өтпеген, бұл жағдай шұғыл шараларды қабылдауды қажет етті [Актымбаева 2025, 5 б.]. Демек, оқытушылардың цифрлық сауаттылығын арттыру — кез келген трансформацияның табысты болуының негізгі шарты.</w:t>
      </w:r>
    </w:p>
    <w:p>
      <w:r>
        <w:t>Екіншіден, сапа мәселесі өткір тұр. Цифрлық технологиялардың қолжетімділігі «арзан, бірақ сапасыз онлайн-білім беру» модельдерінің таралуына әкелуі мүмкін. Т. Андерсон сияқты зерттеушілердің пікірінше, сапалы білім беру контентін жасауға және оқытушылар мен студенттер арасындағы тиімді өзара әрекеттестікті қамтамасыз етуге қаржылық ресурстары жоқ университеттер «терең әрі мазмұнды оқытуды» қамтамасыз ете алмайтын технологиялық шешімдерді пайдалануға мәжбүр болады [Круглова 2020, 2-4 б.]. Бұл жүйелі академиялық білімнің құнсыздануына әкелуі ықтимал.</w:t>
      </w:r>
    </w:p>
    <w:p>
      <w:r>
        <w:t>Үшіншіден, педагогикалық тәсілдерді өзгерту қажеттілігі байқалады. Технология — тек құрал, ал оның тиімділігі оқыту әдісіне байланысты [Ca- Nguyen Duc 2025, 10-11 б.]. Гибридті немесе аралас оқыту (blended learning) дәстүрлі оқытудан гөрі эксперимент болудан қалып, тұрақты тәжірибеге айналды. Бұл формат білім берудің икемділігін арттырады. Бұған қоса, цифрлық құралдарды шамадан тыс пайдалану «клиптік сана» немесе «лайк ойлау» сияқты жағымсыз салдарға әкелуі мүмкін деген қауіп те бар [Круглова 2020, 2-4 б.].</w:t>
      </w:r>
    </w:p>
    <w:p>
      <w:r>
        <w:t>Дамыған елдердің тәжірибесі цифрлық трансформацияның көпқырлы сипатын көрсетеді. Бұл үдеріс технологиялық жаңарумен қатар басқару, сапаны қамтамасыз ету, оқытушылардың біліктілігін арттыру және педагогикалық әдістерді қайта қарау сияқты іргелі өзгерістерді талап етеді. АҚШ, Еуропа және Азия елдерінің жетістіктері мен кемшіліктерін саралау басқа елдер үшін құнды сабақ болып, цифрландыру стратегияларын неғұрлым тиімді құруға негіз болады.</w:t>
      </w:r>
    </w:p>
    <w:p>
      <w:pPr>
        <w:pStyle w:val="Heading2"/>
      </w:pPr>
      <w:bookmarkStart w:id="108" w:name="_Toc_heading_8"/>
      <w:r>
        <w:t>2.2. Қазақстан Республикасындағы жоғары білім беруді цифрландырудың қазіргі жағдайы мен мәселелері</w:t>
      </w:r>
      <w:bookmarkEnd w:id="108"/>
    </w:p>
    <w:p>
      <w:r>
        <w:t>Қазақстандағы жоғары білім беру жүйесін цифрландыру — ұлттық бәсекеге қабілеттілікті арттырудың негізгі құралдарының бірі ретінде қарастырылып отырған мемлекеттік саясаттың маңызды бағыты [2, б.55]. Бұл үдеріс 2017 жылдан бастап Қазақстан Республикасы Үкіметінің 2017 жылғы 12 желтоқсандағы № 827 қаулысымен бекітілген «Цифрлық Қазақстан» мемлекеттік бағдарламасы аясында қарқынды түрде іске асырыла бастады [2, б.54]. Бағдарламаның негізгі мақсаттарының бірі — адами капиталды дамыту арқылы креативті қоғам қалыптастыру [2, б.54]. Жоғары оқу орындарына (ЖОО) бірқатар нақты міндет қойылды. Олардың қатарында «Деректер туралы ғылым», «Жасанды интеллект» сияқты жаңа мамандықтарды енгізу, ақпараттық-коммуникациялық технологиялар (АКТ) саласындағы мамандықтарға бөлінетін мемлекеттік гранттар санын арттыру, сондай-ақ барлық мамандықтар үшін АКТ пәнін оқытуды енгізу шаралары бар [2; 16].</w:t>
      </w:r>
    </w:p>
    <w:p>
      <w:r>
        <w:t>Мемлекеттік саясат нәтижесінде білім беруді цифрлық трансформациялаудың алғашқы кезеңі басталды. Бұл кезеңде инфрақұрылымды дамыту және онлайн платформалар құру бағытында айтарлықтай жұмыстар атқарылды. Пандемияға дейін, 2017 жылы еліміздің жетекші профессорларының онлайн-курстары жинақталған «Қазақстанның ашық университеті» (OpenU.kz) жобасы іске қосылып, алғашқы жылы-ақ оның курстарынан 1000-нан астам адам өтті [9, б.10]. Бұған қоса, 2020 жылға қарай 20-дан астам онлайн-курс пен 5 мыңнан астам тыңдаушысы бар moocs.kz ұлттық платформасы құрылды. Осы кезеңде Қазақстанның барлық дерлік университеттері Moodle немесе Platonus сияқты оқытуды басқару жүйелерін (LMS) енгізіп үлгерген еді [9, б.10].</w:t>
      </w:r>
    </w:p>
    <w:p>
      <w:r>
        <w:t>COVID-19 пандемиясы бұл үдеріске қуатты серпін берді. Еліміздегі 1 миллионнан астам студентті қамтыған мәжбүрлі қашықтан оқыту форматы ЖОО-лардың 100%-ын Zoom, Microsoft Teams сияқты платформаларды қолдануға итермеледі [9, б.11]. Бұл кезең цифрлық технологияларды қолданудың жаппай тәжірибесін қалыптастырып, кейіннен аралас (гибридті) оқыту форматына көшуге негіз болды. Бүгінде Назарбаев Университеті, ҚБТУ, ҚазҰУ сияқты көптеген ірі оқу орындары дәрістерді онлайн, ал семинарлар мен зертханалық жұмыстарды дәстүрлі форматта өткізу арқылы икемді оқу кестесін қолданбақта [9, б.11]. Бұл өзгерістерді қолдау мақсатында инфрақұрылым да жаңартылды: 2022 жылға қарай ЖОО аудиторияларының шамамен 90%-ы сабақтарды трансляциялауға арналған проекторлармен немесе интерактивті панельдермен жабдықталды [9, б.11].</w:t>
      </w:r>
    </w:p>
    <w:p>
      <w:r>
        <w:t>Сонымен қатар, қазақстандық университеттер жасанды интеллект (ЖИ) және виртуалды шындық (VR) сияқты озық технологияларды енгізуде алғашқы қадамдар жасауда. Мысалы, Satbayev University Porsche компаниясымен серіктестікте инженерлік мамандықтар үшін VR-зертхана ашып, студенттерге автомобильдерді виртуалды ортада жөндеу дағдыларын пысықтауға мүмкіндік берді. Алғашқы жылы бұл зертханадан 110-нан астам студент өтті [9, б.18]. Алматы мен Астанадағы бірнеше университет 2023 жылы типтік тапсырмаларды тексеретін ЖИ-көмекші пилоттық жобасын іске қосты. Бұл ретте Назарбаев Университеті командасының 2024 жылы 1 миллиард сөз негізінде оқытылған алғашқы ірі қазақтілді KazLLM тілдік моделін әзірлеуі — ұлттық деңгейдегі маңызды жетістік [9, б.14]. ЖОО-ларда ЖИ қолдану бойынша стандарт қабылданды. Соның нәтижесінде 20 университет базасында 2196 студент білім алатын ЖИ бойынша 20 жаңа білім беру бағдарламасы ашылды [9, б.14].</w:t>
      </w:r>
    </w:p>
    <w:p>
      <w:r>
        <w:t>Дегенмен, қарқынды дамуға қарамастан, Қазақстанның жоғары білім беру саласын цифрландыруда бірқатар жүйелі мәселелер мен кедергілер сақталып отыр. Цифрландыру көбінесе техникалық құралдарды енгізумен шектеледі. Зерттеулер оның оқытудың педагогикалық мазмұнын терең трансформациялауға ұласпай жатқанын көрсетеді. G. M. Berdykulova және оның әріптестерінің пікірінше, қазіргі үрдіс «цифрлық университеттің» өзін құрудан гөрі, «цифрлық орта» жасауға бағытталған [7, б.9]. Яғни, технологиялар негізінен университет жұмысын басқаруды жеңілдету үшін қолданылады, ал білім беруді тұлғаға бағдарлау және студентке бағытталған тәсілдер әлі жеткілікті деңгейде жүзеге асырылмай отыр [7, б.9].</w:t>
      </w:r>
    </w:p>
    <w:p>
      <w:r>
        <w:t>Негізгі себептердің бірі — оқытушылар құзыреттілігінің жеткіліксіздігі. Студенттердің цифрлық дағдылары оқытушылардың дағдыларынан жоғары болатын парадоксалды жағдай жиі кездеседі [17, б.19]. Тәжірибелі оқытушылар жаңа технологияларға бейімделуде қиындықтарға тап болады. А. И. Чернявскийдің пайымдауынша, сапалы оқу бағдарламалық жасақтамасын тек пәнді терең білетін оқытушылар ғана жасай алады, бірақ олардың басым көпшілігінде бағдарламалау дағдылары жоқ [16, б.3]. Сондай-ақ, ЖОО-ларда қолданылатын цифрлық платформалардың ыңғайлылығына қатысты студенттердің пікірі әртүрлі. Бір зерттеуде сауалнамаға қатысқан студенттердің 47,8%-ы бұл платформаларға қатысты бейтарап пікір білдірсе, 18,8%-ы оларды қолдануда қиындықтар туындайтынын атап өткен [17, б.18].</w:t>
      </w:r>
    </w:p>
    <w:p>
      <w:r>
        <w:t>Төмендегі 1-кестеде қазақстандық жоғары білім беруді цифрландырудың SWOT-талдауы негізіндегі негізгі аспектілер топтастырылды.</w:t>
      </w:r>
    </w:p>
    <w:p>
      <w:r>
        <w:t>1-кесте. Қазақстанның жоғары біліміндегі цифрлық трансформацияның SWOT-талдауы</w:t>
      </w:r>
    </w:p>
    <w:tbl>
      <w:tblPr>
        <w:tblStyle w:val="TableGrid"/>
        <w:tblW w:type="auto" w:w="0"/>
        <w:tblLayout w:type="autofit"/>
        <w:tblLook w:firstColumn="1" w:firstRow="1" w:lastColumn="0" w:lastRow="0" w:noHBand="0" w:noVBand="1" w:val="04A0"/>
      </w:tblPr>
      <w:tblGrid>
        <w:gridCol w:w="2409"/>
        <w:gridCol w:w="2409"/>
        <w:gridCol w:w="2409"/>
        <w:gridCol w:w="2409"/>
      </w:tblGrid>
      <w:tr>
        <w:tc>
          <w:tcPr>
            <w:tcW w:type="dxa" w:w="2409"/>
          </w:tcPr>
          <w:p>
            <w:r>
              <w:rPr>
                <w:rFonts w:ascii="Times New Roman" w:hAnsi="Times New Roman"/>
                <w:b/>
                <w:sz w:val="28"/>
              </w:rPr>
              <w:t>Күшті жақтары (Strengths)</w:t>
            </w:r>
          </w:p>
        </w:tc>
        <w:tc>
          <w:tcPr>
            <w:tcW w:type="dxa" w:w="2409"/>
          </w:tcPr>
          <w:p>
            <w:r>
              <w:rPr>
                <w:rFonts w:ascii="Times New Roman" w:hAnsi="Times New Roman"/>
                <w:b/>
                <w:sz w:val="28"/>
              </w:rPr>
              <w:t>Әлсіз жақтары (Weaknesses)</w:t>
            </w:r>
          </w:p>
        </w:tc>
        <w:tc>
          <w:tcPr>
            <w:tcW w:type="dxa" w:w="2409"/>
          </w:tcPr>
          <w:p>
            <w:r>
              <w:rPr>
                <w:rFonts w:ascii="Times New Roman" w:hAnsi="Times New Roman"/>
                <w:b/>
                <w:sz w:val="28"/>
              </w:rPr>
              <w:t>Мүмкіндіктер (Opportunities)</w:t>
            </w:r>
          </w:p>
        </w:tc>
        <w:tc>
          <w:tcPr>
            <w:tcW w:type="dxa" w:w="2409"/>
          </w:tcPr>
          <w:p>
            <w:r>
              <w:rPr>
                <w:rFonts w:ascii="Times New Roman" w:hAnsi="Times New Roman"/>
                <w:b/>
                <w:sz w:val="28"/>
              </w:rPr>
              <w:t>Қауіп-қатерлер (Threats)</w:t>
            </w:r>
          </w:p>
        </w:tc>
      </w:tr>
      <w:tr>
        <w:tc>
          <w:tcPr>
            <w:tcW w:type="dxa" w:w="2409"/>
          </w:tcPr>
          <w:p>
            <w:r>
              <w:rPr>
                <w:rFonts w:ascii="Times New Roman" w:hAnsi="Times New Roman"/>
                <w:sz w:val="28"/>
              </w:rPr>
              <w:t>Оқытудың интерактивтілігі мен икемділігі</w:t>
            </w:r>
          </w:p>
        </w:tc>
        <w:tc>
          <w:tcPr>
            <w:tcW w:type="dxa" w:w="2409"/>
          </w:tcPr>
          <w:p>
            <w:r>
              <w:rPr>
                <w:rFonts w:ascii="Times New Roman" w:hAnsi="Times New Roman"/>
                <w:sz w:val="28"/>
              </w:rPr>
              <w:t>Цифрлық теңсіздік және инфрақұрылымның әлсіздігі</w:t>
            </w:r>
          </w:p>
        </w:tc>
        <w:tc>
          <w:tcPr>
            <w:tcW w:type="dxa" w:w="2409"/>
          </w:tcPr>
          <w:p>
            <w:r>
              <w:rPr>
                <w:rFonts w:ascii="Times New Roman" w:hAnsi="Times New Roman"/>
                <w:sz w:val="28"/>
              </w:rPr>
              <w:t>Ұлттық ЖИ-платформаларды дамыту (KazLLM)</w:t>
            </w:r>
          </w:p>
        </w:tc>
        <w:tc>
          <w:tcPr>
            <w:tcW w:type="dxa" w:w="2409"/>
          </w:tcPr>
          <w:p>
            <w:r>
              <w:rPr>
                <w:rFonts w:ascii="Times New Roman" w:hAnsi="Times New Roman"/>
                <w:sz w:val="28"/>
              </w:rPr>
              <w:t>Технологиялардың тез ескіруі</w:t>
            </w:r>
          </w:p>
        </w:tc>
      </w:tr>
      <w:tr>
        <w:tc>
          <w:tcPr>
            <w:tcW w:type="dxa" w:w="2409"/>
          </w:tcPr>
          <w:p>
            <w:r>
              <w:rPr>
                <w:rFonts w:ascii="Times New Roman" w:hAnsi="Times New Roman"/>
                <w:sz w:val="28"/>
              </w:rPr>
              <w:t>Студенттер мен оқытушылардың цифрлық дағдыларын дамыту</w:t>
            </w:r>
          </w:p>
        </w:tc>
        <w:tc>
          <w:tcPr>
            <w:tcW w:type="dxa" w:w="2409"/>
          </w:tcPr>
          <w:p>
            <w:r>
              <w:rPr>
                <w:rFonts w:ascii="Times New Roman" w:hAnsi="Times New Roman"/>
                <w:sz w:val="28"/>
              </w:rPr>
              <w:t>Оқытушылардың дайындығының жеткіліксіздігі</w:t>
            </w:r>
          </w:p>
        </w:tc>
        <w:tc>
          <w:tcPr>
            <w:tcW w:type="dxa" w:w="2409"/>
          </w:tcPr>
          <w:p>
            <w:r>
              <w:rPr>
                <w:rFonts w:ascii="Times New Roman" w:hAnsi="Times New Roman"/>
                <w:sz w:val="28"/>
              </w:rPr>
              <w:t>Халықаралық серіктестіктер мен гранттар (Erasmus+, Google)</w:t>
            </w:r>
          </w:p>
        </w:tc>
        <w:tc>
          <w:tcPr>
            <w:tcW w:type="dxa" w:w="2409"/>
          </w:tcPr>
          <w:p>
            <w:r>
              <w:rPr>
                <w:rFonts w:ascii="Times New Roman" w:hAnsi="Times New Roman"/>
                <w:sz w:val="28"/>
              </w:rPr>
              <w:t>Киберқауіпсіздік және деректердің таралуы</w:t>
            </w:r>
          </w:p>
        </w:tc>
      </w:tr>
      <w:tr>
        <w:tc>
          <w:tcPr>
            <w:tcW w:type="dxa" w:w="2409"/>
          </w:tcPr>
          <w:p>
            <w:r>
              <w:rPr>
                <w:rFonts w:ascii="Times New Roman" w:hAnsi="Times New Roman"/>
                <w:sz w:val="28"/>
              </w:rPr>
              <w:t>Білімнің қолжетімділігін арттыру</w:t>
            </w:r>
          </w:p>
        </w:tc>
        <w:tc>
          <w:tcPr>
            <w:tcW w:type="dxa" w:w="2409"/>
          </w:tcPr>
          <w:p>
            <w:r>
              <w:rPr>
                <w:rFonts w:ascii="Times New Roman" w:hAnsi="Times New Roman"/>
                <w:sz w:val="28"/>
              </w:rPr>
              <w:t>Оқытудың формализациялануы, тұлғааралық байланыстың жоғалуы</w:t>
            </w:r>
          </w:p>
        </w:tc>
        <w:tc>
          <w:tcPr>
            <w:tcW w:type="dxa" w:w="2409"/>
          </w:tcPr>
          <w:p>
            <w:r>
              <w:rPr>
                <w:rFonts w:ascii="Times New Roman" w:hAnsi="Times New Roman"/>
                <w:sz w:val="28"/>
              </w:rPr>
              <w:t>Жаңа форматтарды енгізу: геймификация, VR/AR, симуляциялар</w:t>
            </w:r>
          </w:p>
        </w:tc>
        <w:tc>
          <w:tcPr>
            <w:tcW w:type="dxa" w:w="2409"/>
          </w:tcPr>
          <w:p>
            <w:r>
              <w:rPr>
                <w:rFonts w:ascii="Times New Roman" w:hAnsi="Times New Roman"/>
                <w:sz w:val="28"/>
              </w:rPr>
              <w:t>Тірі оқытуды автоматтандырылған жүйелермен алмастыру қаупі</w:t>
            </w:r>
          </w:p>
        </w:tc>
      </w:tr>
      <w:tr>
        <w:tc>
          <w:tcPr>
            <w:tcW w:type="dxa" w:w="2409"/>
          </w:tcPr>
          <w:p>
            <w:r>
              <w:rPr>
                <w:rFonts w:ascii="Times New Roman" w:hAnsi="Times New Roman"/>
                <w:sz w:val="28"/>
              </w:rPr>
              <w:t>ЖОО басқаруын цифрлық трансформациялау</w:t>
            </w:r>
          </w:p>
        </w:tc>
        <w:tc>
          <w:tcPr>
            <w:tcW w:type="dxa" w:w="2409"/>
          </w:tcPr>
          <w:p>
            <w:r>
              <w:rPr>
                <w:rFonts w:ascii="Times New Roman" w:hAnsi="Times New Roman"/>
                <w:sz w:val="28"/>
              </w:rPr>
              <w:t>Қазақ тіліндегі контенттің жетіспеушілігі</w:t>
            </w:r>
          </w:p>
        </w:tc>
        <w:tc>
          <w:tcPr>
            <w:tcW w:type="dxa" w:w="2409"/>
          </w:tcPr>
          <w:p>
            <w:r>
              <w:rPr>
                <w:rFonts w:ascii="Times New Roman" w:hAnsi="Times New Roman"/>
                <w:sz w:val="28"/>
              </w:rPr>
              <w:t>Жаһандық білім беру экожүйелеріне қатысу</w:t>
            </w:r>
          </w:p>
        </w:tc>
        <w:tc>
          <w:tcPr>
            <w:tcW w:type="dxa" w:w="2409"/>
          </w:tcPr>
          <w:p>
            <w:r>
              <w:rPr>
                <w:rFonts w:ascii="Times New Roman" w:hAnsi="Times New Roman"/>
                <w:sz w:val="28"/>
              </w:rPr>
              <w:t>ЖИ-ді қолданудың этикалық және құқықтық мәселелері</w:t>
            </w:r>
          </w:p>
        </w:tc>
      </w:tr>
    </w:tbl>
    <w:p/>
    <w:p>
      <w:r>
        <w:t>Дереккөз: [9, б.19] негізінде құрастырылды.</w:t>
      </w:r>
    </w:p>
    <w:p>
      <w:r>
        <w:t>Басты мәселелердің бірі — «цифрлық теңсіздік». «Цифрлық Қазақстан» бағдарламасы халықтың 97%-ын кеңжолақты интернетпен қамтуды жоспарлағанымен [2, б.56], аймақтар мен әлеуметтік топтар арасындағы алшақтық сақталуда, сонымен бірге «қазақ тіліндегі контенттің жетіспеушілігі» де ұлттық білім беру жүйесі үшін маңызды стратегиялық кедергі болып отыр [9, б.19].</w:t>
      </w:r>
    </w:p>
    <w:p>
      <w:r>
        <w:t>Қазақстанда жоғары білімді цифрландыру үдерісі мемлекеттік деңгейде қолдау тауып, айтарлықтай инфрақұрылымдық және технологиялық жетістіктерге қол жеткізді. Аралас оқыту моделі қалыпты жағдайға айналды. ЖИ және VR сияқты инновациялық технологиялар енгізіле бастады. Алайда, бұл трансформация әлі де негізінен техникалық сипатта қалып, педагогикалық әдіснаманы терең жаңғыртуға толық көшкен жоқ. Оқытушылардың цифрлық құзыреттілігін арттыру, сапалы қазақтілді білім беру контентін жасау, цифрлық теңсіздікті азайту және технологияларды қолданудың этикалық стандарттарын қалыптастыру — алдағы кезеңнің негізгі міндеттері.</w:t>
      </w:r>
    </w:p>
    <w:p>
      <w:pPr>
        <w:pStyle w:val="Heading2"/>
      </w:pPr>
      <w:bookmarkStart w:id="109" w:name="_Toc_heading_9"/>
      <w:r>
        <w:t>2.3. Цифрлық технологияларды тиімді қолданудың озық педагогикалық тәжірибелері</w:t>
      </w:r>
      <w:bookmarkEnd w:id="109"/>
    </w:p>
    <w:p>
      <w:r>
        <w:t>Жоғары білім беруге цифрлық технологияларды енгізу білім сапасын арттыруға өздігінен кепілдік бермейді, себебі технологиялық құралдардың тиімділігі олардың педагогикалық мақсаттарға қаншалықты сай қолданылуына тікелей байланысты. Осыған орай, зерттеушілер технологияны оқу үдерісіне біріктіруде «педагогикалық дизайнның» негізгі рөлін атап көрсетеді [Блинова 2021, 111 б.]. Педагогикалық дизайн — оқытудың мақсатын, мазмұнын, әдістері мен технологияларын біртұтас жүйе ретінде жобалау үдерісі. Соңғы жылдары цифрлық құралдарды қолданудың бірнеше тиімді педагогикалық моделі қалыптасып, олардың нәтижелілігі нақты зерттеулермен дәлелденді. Бұл модельдердің басты ерекшелігі — студентке бағытталған оқыту. Олар дәстүрлі білім беруден белсенді әрі интерактивті формаларға көшуді білдіреді.</w:t>
      </w:r>
    </w:p>
    <w:p>
      <w:r>
        <w:t>Аралас оқыту (Blended Learning) — дәстүрлі аудиториялық сабақтар мен онлайн оқыту элементтерін біріктіретін педагогикалық технология [Биленко 2019, 28 б.]. Бірқатар зерттеу бұл тәсілдің тек бетпе-бет немесе тек онлайн оқыту форматтарынан тиімдірек екенін көрсетеді [Блинова 2021, 111 б.]. Аралас оқытудың стандартты әдістемелік ұсынымы бойынша, студент уақытының шамамен 40%-ын қашықтан, 40%-ын аудиторияда, ал қалған 20%-ын өзіндік білім алуға жұмсауы тиіс [Биленко 2019, 28 б.]. Бұл үрдіс Қазақстанның жоғары оқу орындарында да қолданыс табуда. Мысалы, Назарбаев Университеті мен әл-Фараби атындағы Қазақ ұлттық университетінде онлайн курстар мен дәстүрлі дәрістерді ұштастыратын аралас оқыту тәжірибесі қалыптасқан [Тараз университеті 2025, 201 б.].</w:t>
      </w:r>
    </w:p>
    <w:p>
      <w:r>
        <w:t>Аралас оқытудың кең таралған түрі — «аударылған сынып» (Flipped Classroom) моделі. Бұл модельде дәстүрлі сабақ барысы керісінше ұйымдастырылады: студенттер жаңа теориялық материалды сабаққа дейін үйде (көбіне видеодәрістер немесе онлайн ресурстар арқылы) өз бетінше меңгеріп, аудиториядағы уақытты практикалық тапсырмаларды орындауға, мәселелерді талқылауға және оқытушымен тікелей жұмыс істеуге арнайды [Биленко 2019, 28 б.]. Бұл әдістің тиімділігі Назарбаев Зияткерлік мектептерінің тәжірибесінде байқалған [Тараз университеті 2025, 201 б.].</w:t>
      </w:r>
    </w:p>
    <w:p>
      <w:r>
        <w:t>Аралас оқытудың бірнеше қосымша моделі де бар. Мысалы, «Станциялық ротация» (Station Rotation) моделінде студенттер сабақ барысында бірнеше «станция» бойынша ауысады: бірінде оқытушымен жұмыс істесе, екіншісінде топтық жобалармен айналысады, ал үшіншісінде онлайн тапсырмалар орындайды. «Зертханалық ротация» (Lab Rotation) моделінде болса, студенттер дәстүрлі сабақтармен қатар, арнайы компьютерлік зертханада онлайн білім алады [Bidari 2023, 10-11 б.], бұл оқыту үдерісін әртараптандырып, студенттердің жеке қажеттіліктеріне бейімдеуге мүмкіндік береді.</w:t>
      </w:r>
    </w:p>
    <w:p>
      <w:r>
        <w:t>Цифрлық технологиялар жобаға негізделген оқыту әдісіне жаңа серпін берді. Бұл әдіс бойынша студенттер нақты мәселені шешуге немесе дайын өнім жасауға бағытталған жобалармен жұмыс істейді [Биленко 2019, 29 б.], бұл үдерісте заманауи бағдарламалық жасақтамаларды қолдану пәнаралық құзыреттіліктерді дамытуға ықпал етеді. Осы бағыттағы зерттеулердің бірінде «Көркем еңбек және сызу» білім беру бағдарламасы студенттеріне арнайы эксперимент жүргізіліп, олар 3D модельдеу (Blender, SketchUp, AutoCAD), виртуалды және кеңейтілген шындық (VR/AR) технологияларын қолданып, жобалық жұмыстар орындады. Нәтижесінде эксперименттік топтың арт-технологиялық құзыреттілігі бақылау тобына қарағанда айтарлықтай жоғары өсім көрсетті. Жүргізілген t-тест нәтижесі топтар арасындағы айырмашылықтың статистикалық мәнге ие екенін (t = 6,84; p &lt; 0.001), ал әсер мөлшерінің жоғары екенін растады (Cohen’s d = 0,92) [Жолдасбекова С.А. 2026, 16 б.]. Бұл нәтижелер цифрлық құралдар мен жобалық оқытуды біріктірудің тиімділігін көрсетеді.</w:t>
      </w:r>
    </w:p>
    <w:p>
      <w:r>
        <w:t>Жобалық оқыту көбіне STEAM (Science, Technology, Engineering, Art, and Mathematics) тәсілімен ұштастырылады. STEAM — ғылым, технология, инженерия, өнер және математика салаларын біріктіріп, студенттердің сыни ойлауын, шығармашылығын және мәселе шешу дағдыларын дамытуға бағытталған кешенді білім беру технологиясы [Жолдасбекова С.А. 2026, 11 б.]. Қазақстанда мектептер мен колледждерде STEM-зертханалардың белсенді енгізілуі осы бағыттың маңыздылығын көрсетеді [Тараз университеті 2025, 201 б.].</w:t>
      </w:r>
    </w:p>
    <w:p>
      <w:r>
        <w:t>Озық педагогикалық тәжірибелер студентті білімді пассивті қабылдаушыдан оны белсенді құрушыға айналдыруды көздейді. Бұл мақсатқа жетудің бір жолы ретінде Ұлыбританияның Линкольн университетінде жүзеге асырылған «Продюсер ретіндегі студент» (Student as Producer) жобасын атауға болады, оның негізгі идеясы — студенттер мен оқытушылар арасындағы дәстүрлі қарым-қатынасты өзгертіп, оларды білімді бірлесіп өндіретін серіктестерге айналдыру [Айтбаева 2022, 6 б.]. Бұл — серіктестікке негізделген тәсіл. Жоба аясында студенттер оқу бағдарламасын жасақтауға, курстарды бағалауға және ғылыми-зерттеу жұмыстарына белсене тартылады. Бұл үдерісте технологиялардың маңызы зор. Мысалы, оқытушылар студенттердің онлайн-форумдардағы пікірталастарын, бірлескен Wiki-жобалардағы үлестерін немесе электронды портфолиодағы жетістіктерін талдай отырып, оқыту әдістерін жетілдіре алады [Айтбаева 2022, 5 б.]. Осындай тәсіл оқу үдерісін демократияландырып, студенттердің жауапкершілігі мен оқуға деген ынтасын арттырады.</w:t>
      </w:r>
    </w:p>
    <w:p>
      <w:r>
        <w:t>Әлемдік және аймақтық университеттердің тәжірибесі цифрлық технологияларды қолданудың түрлі жолдарын көрсетеді. Мысалы, Томск мемлекеттік университетінде (Ресей) студенттердің әмбебап құзыреттіліктерін (soft skills) дамытуға бағытталған «Академия лидерства» жобасы аясында LMS Moodle платформасында микрокурстар кітапханасы құрылған, бұл — білім беруді дараландырудың тиімді үлгісі [Блинова 2021, 110 б.]. Ал И. Раззақов атындағы Қырғыз мемлекеттік техникалық университетінде (Қырғызстан) «Цифрлық оқытушы» бағдарламасы арқылы оқытушылардың біліктілігі арттырылып, LMS Moodle, Zoom сияқты платформалар кеңінен қолданылған, сондай-ақ «Логистика» кафедрасы үшін виртуалды шындық (VR) технологиясы негізінде «Virtual laboratory» құрылған [Вэй 2021, 35, 38 б.]. Сондай-ақ, 175 студент қатысқан экология курсының бір кейсінде бихевиористік оқытудан конструктивистік тәсілге көшу үшін TPACK моделіне сүйеніп, VLE, форум және Padlet технологиялары пайдаланылған, нәтижесінде студенттер арасындағы өзара әрекеттестік артқаны байқалған [Gordon 2022, 9 б.]. Бұл мысалдар әртүрлі.</w:t>
      </w:r>
    </w:p>
    <w:p>
      <w:r>
        <w:t>Сонымен, цифрлық технологияларды білім беруде тиімді қолданудың озық тәжірибелері тек техникалық құралдарды енгізумен шектелмейді. Олар оқытудың педагогикалық негізін қайта қарастыруды талап етеді. Бұл — маңызды қорытынды. Аралас оқыту, аударылған сынып, жобалық оқыту және студентті білім өндіруші ретінде тарту сияқты модельдер оқу үдерісін интерактивті, жеке тұлғаға бағытталған әрі шынайы өмірмен тығыз байланысты етуге мүмкіндік береді. Осыған сәйкес оқытушының рөлі де өзгереді: ол ақпараттың жалғыз көзі болудан гөрі, оқу үдерісін жобалаушы, бағыттаушы (фасилитатор) және студенттің білім алу жолындағы серіктесіне айналады [Биленко 2019, 29 б.].</w:t>
      </w:r>
    </w:p>
    <w:p>
      <w:r>
        <w:br w:type="page"/>
      </w:r>
    </w:p>
    <w:p>
      <w:pPr>
        <w:pStyle w:val="Heading1"/>
      </w:pPr>
      <w:bookmarkStart w:id="110" w:name="_Toc_heading_10"/>
      <w:r>
        <w:t>3-ТАРАУ. ЖОҒАРЫ ОҚУ ОРЫНДАРЫНДА ОҚУ ҮДЕРІСІН ЦИФРЛЫҚ ТЕХНОЛОГИЯЛАР АРҚЫЛЫ ЖЕТІЛДІРУ ЖОЛДАРЫ</w:t>
      </w:r>
      <w:bookmarkEnd w:id="110"/>
    </w:p>
    <w:p>
      <w:pPr>
        <w:pStyle w:val="Heading2"/>
      </w:pPr>
      <w:bookmarkStart w:id="111" w:name="_Toc_heading_11"/>
      <w:r>
        <w:t>3.1. Оқу үдерісіне цифрлық білім беру ресурстарын кешенді енгізу модельдері</w:t>
      </w:r>
      <w:bookmarkEnd w:id="111"/>
    </w:p>
    <w:p>
      <w:r>
        <w:t>Жоғары білім беру саласына цифрлық технологияларды енгізу техникалық жабдықтаумен қатар оқытудың педагогикалық негіздерін де қайта қарауды талап етеді. Технологияларды тиімді пайдалану үшін оларды оқу мақсаттарымен, мазмұнымен және әдістемесімен ұштастыру керек. Бұл үшін теориялық негіздемелер қажет. Осы ретте халықаралық тәжірибеде кеңінен танылған SAMR және TPACK сияқты технологиялық интеграция модельдері оқытушыларға технологияны қолданудың тереңдігін бағалауға әрі оқу үдерісін саналы түрде жобалауға мүмкіндік береді. Бұл модельдер — оқытушының технологияны қолдануын реттейтін және оның педагогикалық әсерін бағалайтын құрылымдық негіз.</w:t>
      </w:r>
    </w:p>
    <w:p>
      <w:r>
        <w:t>Технологиялық интеграцияны жүйелеуге бағытталған бірнеше модельдің ішінде ең танымалы — Рубен Пуэнтедура (Ruben Puentedura) ұсынған SAMR моделі. SAMR аббревиатурасы технологияларды оқу үдерісіне енгізудің төрт деңгейін білдіреді: Substitution (Алмастыру), Augmentation (Толықтыру), Modification (Түрлендіру) және Redefinition (Қайта анықтау) [18, б.1-2]. Бұл модель технологияны қолдануды екі негізгі санатқа бөледі: «Жетілдіру» (Enhancement) және «Трансформация» (Transformation).</w:t>
      </w:r>
    </w:p>
    <w:p>
      <w:r>
        <w:t>«Жетілдіру» (Enhancement) санаты алғашқы екі деңгейді қамтиды. Бірінші деңгей — Алмастыру (Substitution), мұнда технология дәстүрлі құралды ешқандай функционалдық өзгеріссіз тікелей алмастырады. Мысалы, қағазға жазылатын эссені Word құжатында теру [19, б.2]. Бұл деңгейдегі негізгі сұрақ: «Ескі технологияны жаңасымен ауыстырудан не ұтамын?» [18, б.2]. Екінші деңгей — Толықтыру (Augmentation), бұл кезде технология дәстүрлі құралды тікелей алмастырып қана қоймай, оған қосымша функционалдық жақсартулар енгізеді. Мәселен, Word құжатында емлені тексеру немесе гиперсілтемелер қосу арқылы тапсырманың орындалу үдерісі жақсартылады [18, б.2].</w:t>
      </w:r>
    </w:p>
    <w:p>
      <w:r>
        <w:t>«Трансформация» (Transformation) санаты келесі екі деңгейден тұрады. Үшіншісі — Түрлендіру (Modification), бұл деңгейде технология оқу тапсырмасын айтарлықтай өзгертуге мүмкіндік береді. Тапсырманың өзі сақталғанымен, оны орындау жолы технологияның арқасында түбегейлі өзгереді, мысалы, студенттер жазған эссені блогта жариялап, сырттан пікірлер мен ұсыныстар ала алады. Бұл технологиясыз мүмкін болмайтын өзара әрекеттесуді қамтамасыз етеді [18, б.2]. Төртінші деңгей — Қайта анықтау (Redefinition), мұнда технология бұрын мүмкін болмаған жаңа тапсырмалар мен оқу мүмкіндіктерін жасайды. Мысалы, тарихи оқиға туралы эссе жазудың орнына, сол оқиғаны баяндайтын интерактивті картасы бар деректі фильм немесе iMovie ролигін жасау [18, б.4]. Бұл деңгейде оқу үдерісі толығымен трансформацияланады.</w:t>
      </w:r>
    </w:p>
    <w:p>
      <w:r>
        <w:t>Дегенмен, SAMR моделін қатаң иерархия ретінде қабылдамаған жөн. Джейсон Хилтонның зерттеуіне қатысқан тәжірибелі мұғалімдердің пікірінше, модельдің практикалық қолданысы икемді болуы тиіс. Олар технологияны қолдану деңгейі белгілі бір оқу мақсатына жету қажеттілігінен туындауы керек екенін атап көрсеткен [18, б.4]. Яғни, әр сабақты «Қайта анықтау» деңгейіне жеткізу міндет емес. Кейде қарапайым «Алмастыру» немесе «Толықтыру» деңгейі де педагогикалық тұрғыдан тиімді болуы мүмкін. Зерттеу барысында мазмұнды игеруге бағытталған тапсырмалар көбінесе алмастыру және толықтыру деңгейлерінде, ал дағдыларды қолдануға арналған тапсырмалар түрлендіру және қайта анықтау деңгейлерінде орындалғаны байқалды [18, б.4].</w:t>
      </w:r>
    </w:p>
    <w:p>
      <w:r>
        <w:t>Технологиялық интеграцияны қарастыратын тағы бір іргелі модель — Пунья Мишра (Punya Mishra) мен Мэттью Кёлер (Matthew Koehler) әзірлеген TPACK (Technological Pedagogical Content Knowledge – Технологиялық-педагогикалық пәндік білім) моделі. Бұл модель технологияны, педагогиканы және пән мазмұнын тиімді ұштастыруға негізделген [18, б.2]. TPACK Ли Шульманның (Lee Shulman) педагогикалық пәндік білім (PCK) тұжырымдамасын кеңейтіп, оған технологиялық компонентті қосады. Модельдің негізінде үш білім саласы жатыр: оқытушының өз пәнінің мазмұнын терең білуін қамтитын пәндік білім (Content Knowledge, CK); оқыту үдерістері мен әдістерін білуін қамтитын педагогикалық білім (Pedagogical Knowledge, PK); және дәстүрлі технологиялардан бастап ең жаңа цифрлық құралдарға дейінгі технологияларды қолдана білуін білдіретін технологиялық білім (Technological Knowledge, TK) [18, б.3].</w:t>
      </w:r>
    </w:p>
    <w:p>
      <w:r>
        <w:t>Осы үш білім саласының қиылысуынан Педагогикалық пәндік білім (PCK), Технологиялық пәндік білім (TCK), Технологиялық-педагогикалық білім (TPK) сияқты жаңа білім түрлері пайда болады, ал осылардың барлығының тоғысқан жерінде TPACK орналасады. TPACK — оқытушының технологияны нақты бір пән мазмұнын оқытудың тиімді педагогикалық әдістерімен біріктіре алу қабілеті [18, б.3].</w:t>
      </w:r>
    </w:p>
    <w:p>
      <w:r>
        <w:t>SAMR мен TPACK модельдері әртүрлі аспектілерге бағытталған. Хилтонның зерттеуіне қатысқан мұғалімдердің пайымдауынша, SAMR оқушыға бағытталған (student-centered) сипатқа ие, себебі ол әрбір оқу тапсырмасын оқушының дербес оқу қабілетін арттыру тұрғысынан талдайды. Ал TPACK оқытушыға бағытталған (teacher-centered) болып көрінеді, өйткені технология, педагогика және мазмұн оқытушының білімі мен шеберлігі арқылы сүзгіден өтіп, оқу мүмкіндіктеріне айналады [18, б.6]. Тәжірибеде мұғалімдер SAMR моделін рефлексия жасау және болашақ сабақтарға идеялар құру үшін қолдануға оңайырақ деп тапқан, ал TPACK моделін «тым күрделі» және практикалық технологиялық қиындықтарға байланысты қол жеткізуі қиын идеал ретінде сипаттаған [18, б.6].</w:t>
      </w:r>
    </w:p>
    <w:p>
      <w:r>
        <w:t>Нэйр мен Чуанның (2021) зерттеуінде SAMR моделі Блум таксономиясымен және TPACK компоненттерімен байланыстырылып, оның әр деңгейінде қандай білім мен дағдылар дамитыны талданған. Бұл талдау технологиялық интеграцияның кешенді сипатын көрсетеді.</w:t>
      </w:r>
    </w:p>
    <w:p>
      <w:pPr>
        <w:ind w:firstLine="0"/>
        <w:jc w:val="center"/>
      </w:pPr>
      <w:r>
        <w:drawing>
          <wp:inline xmlns:a="http://schemas.openxmlformats.org/drawingml/2006/main" xmlns:pic="http://schemas.openxmlformats.org/drawingml/2006/picture">
            <wp:extent cx="5040000" cy="2940000"/>
            <wp:docPr id="3" name="Picture 3"/>
            <wp:cNvGraphicFramePr>
              <a:graphicFrameLocks noChangeAspect="1"/>
            </wp:cNvGraphicFramePr>
            <a:graphic>
              <a:graphicData uri="http://schemas.openxmlformats.org/drawingml/2006/picture">
                <pic:pic>
                  <pic:nvPicPr>
                    <pic:cNvPr id="0" name="image.png"/>
                    <pic:cNvPicPr/>
                  </pic:nvPicPr>
                  <pic:blipFill>
                    <a:blip r:embed="rId11"/>
                    <a:stretch>
                      <a:fillRect/>
                    </a:stretch>
                  </pic:blipFill>
                  <pic:spPr>
                    <a:xfrm>
                      <a:off x="0" y="0"/>
                      <a:ext cx="5040000" cy="2940000"/>
                    </a:xfrm>
                    <a:prstGeom prst="rect"/>
                  </pic:spPr>
                </pic:pic>
              </a:graphicData>
            </a:graphic>
          </wp:inline>
        </w:drawing>
      </w:r>
    </w:p>
    <w:p>
      <w:pPr>
        <w:ind w:firstLine="0"/>
        <w:jc w:val="center"/>
      </w:pPr>
      <w:r>
        <w:rPr>
          <w:i/>
          <w:sz w:val="20"/>
        </w:rPr>
        <w:t>Сурет 3. SAMR моделінің Блум таксономиясы және TPACK компоненттерімен байланысы</w:t>
      </w:r>
    </w:p>
    <w:p>
      <w:pPr>
        <w:spacing w:after="320"/>
        <w:ind w:firstLine="0"/>
        <w:jc w:val="center"/>
      </w:pPr>
      <w:r>
        <w:rPr>
          <w:i/>
          <w:sz w:val="18"/>
        </w:rPr>
        <w:t>Дереккөз: (Nair 2021, 10-б.)</w:t>
      </w:r>
    </w:p>
    <w:p>
      <w:r>
        <w:t>Диаграммада көрсетілгендей, «Алмастыру» деңгейінде негізінен технологияның өзі ғана (TK) қолданылып, педагогика (PK) мен мазмұн (CK) өзгеріссіз қалады. Бұл деңгей Блум таксономиясының «Есте сақтау» және «Түсіну» сияқты төменгі деңгейлеріне сәйкес келеді. Интеграция тереңдеген сайын, «Толықтыру», «Түрлендіру» және «Қайта анықтау» деңгейлерінде технология, педагогика және мазмұн біртұтас жүйеге айналып, Блум таксономиясының жоғары деңгейлері — «Талдау», «Бағалау» және «Жасау» дағдыларының дамуына ықпал етеді [19, б.10].</w:t>
      </w:r>
    </w:p>
    <w:p>
      <w:r>
        <w:t>Бұл модельдерді Қазақстанның жоғары білім беру жүйесіне бейімдеу үдерісі басталды. Ол ғылыми-педагогикалық зерттеулерде қарастырылуда. Мәселен, Жолдасбекова және оның әріптестерінің еңбегінде студенттердің арт-технологиялық құзыреттілігін дамыту аясында SAMR және TPACK модельдерінің қазақстандық білім беру контексіне интеграциялануы көрсетілген. Олардың зерттеуінде SAMR деңгейлері нақты пәндік мысалдармен сипатталады: «Алмастыру» — қағаз эскиздің орнына планшетті қолдану болса, «Қайта анықтау» — толықтырылған реальность (AR) экспозициясын немесе генеративті жасанды интеллект негізінде интерактивті инсталляция жасау [20, б.285]. TPACK моделі де осылайша бейімделген: пәндік білім (CK) — өнер тарихы мен композиция, педагогикалық білім (PK) — студиялық коучинг әдістерін меңгеру, ал технологиялық білім (TK) — графикалық планшет, Blender, DAW сияқты құралдарды білу [20, б.285]. Бұл — халықаралық модельдердің теориялық қағидаларын Қазақстанның жоғары оқу орындарындағы нақты білім беру бағдарламаларының мазмұнына сәйкестендірудің сәтті үлгісі.</w:t>
      </w:r>
    </w:p>
    <w:p>
      <w:r>
        <w:t>Бұған қоса, қазақстандық зерттеушілер бұл модельдерді DigCompEdu (педагогтердің цифрлық құзыреттіліктерінің еуропалық негіздемесі), UNESCO ICT-CFT сияқты басқа да халықаралық стандарттармен үйлестіре отырып, студенттердің цифрлық дағдыларын кешенді дамытуға бағытталған құрылымдар ұсынуда [20, б.285]. Демек, бұл модельдерді Қазақстан жағдайына бейімдеу тікелей көшірумен шектелмейді. Бұл үдеріс жергілікті білім беру мақсаттарымен, пәндік ерекшеліктермен және заманауи құзыреттіліктермен (мысалы, ЖИ-мен жұмыс істеу) синтездеу арқылы жүзеге асырылады. Мұндай тәсіл технологиялық интеграцияның теориялық негіздерін практикалық педагогикалық құндылыққа айналдыруға мүмкіндік береді.</w:t>
      </w:r>
    </w:p>
    <w:p>
      <w:pPr>
        <w:pStyle w:val="Heading2"/>
      </w:pPr>
      <w:bookmarkStart w:id="112" w:name="_Toc_heading_12"/>
      <w:r>
        <w:t>3.2. Оқытушылардың цифрлық құзыреттілігін дамытудың әдістемелік негіздері</w:t>
      </w:r>
      <w:bookmarkEnd w:id="112"/>
    </w:p>
    <w:p>
      <w:r>
        <w:t>Бұл үдеріс жекелеген технологияларды меңгерумен шектелмей, оқытушының цифрлық құзыреттілігін жүйелі әрі мақсатты түрде дамытуды талап етеді. Осыған байланысты құзыреттіліктің құрылымын, оны бағалаудың халықаралық стандарттарын және біліктілікті арттырудың тиімді әдістемелерін қарастыру маңызды. Цифрлық құзыреттілік — ақпараттық-коммуникациялық технологияларды кәсіби мақсаттарға, соның ішінде оқыту, оқу, кәсіби даму және қоғамдық өмірге араласу үшін сенімді, сыни және креативті түрде пайдалану қабілеті [11, 177 б.].</w:t>
      </w:r>
    </w:p>
    <w:p>
      <w:r>
        <w:t>Аталған бағытта халықаралық деңгейде танылған бірнеше модель бар, солардың ішінде еуропалық зерттеушілер ұсынған DigCompEdu (Digital Competence Framework for Educators) стандарты кеңінен қолданылады.</w:t>
      </w:r>
    </w:p>
    <w:p>
      <w:r>
        <w:t>Жалпы алғанда, оны технологиялық (пайдаланушылық) және әдістемелік (педагогикалық) деп екі негізгі деңгейге бөлуге болады [11, 177 б.]. Пайдаланушылық деңгей цифрлық құралдармен жұмыс істеудің техникалық дағдыларын қамтыса, педагогикалық деңгей сол технологияларды оқыту әдістемесі мен мазмұнына мақсатты түрде, педагогикалық көзқараспен кіріктіруді білдіреді.</w:t>
      </w:r>
    </w:p>
    <w:p>
      <w:r>
        <w:t>Еуропалық комиссия әзірлеген DigCompEdu стандарты осы екі деңгейді біріктіретін кешенді модель ретінде қарастырылады. Ол педагогтің кәсіби қызметінің алты негізгі бағытын қамтитын 22 құзыреттілікті сипаттайды [2, 16 б.; 4, 53 б.].</w:t>
      </w:r>
    </w:p>
    <w:p>
      <w:r>
        <w:t>DigCompEdu моделінің алты негізгі бағыты:</w:t>
      </w:r>
    </w:p>
    <w:p>
      <w:r>
        <w:t>1.  Кәсіби қатысу (Professional Engagement). Цифрлық технологияларды әріптестермен, білім алушылармен, ата-аналармен және басқа тараптармен кәсіби қарым-қатынас орнату, өзін-өзі дамыту және ұйымның инновациялық әлеуетін арттыру үшін қолдану [2, 19 б.].</w:t>
      </w:r>
    </w:p>
    <w:p>
      <w:r>
        <w:t>2.  Цифрлық ресурстар (Digital Resources). Оқыту мақсаттарына сай келетін цифрлық ресурстарды іздеу, жасау, бейімдеу және бөлісу. Бұл ретте авторлық құқық пен лицензия ережелерін сақтау, сондай-ақ сезімтал деректерді (мысалы, студенттердің бағалары) қорғау маңызды [2, 20 б.].</w:t>
      </w:r>
    </w:p>
    <w:p>
      <w:r>
        <w:t>3.  Оқыту және оқу (Teaching and Learning). Оқу үдерісінің тиімділігін арттыру үшін цифрлық технологияларды жоспарлау және оқытудың әртүрлі кезеңдерінде қолдану [2, 20 б.].</w:t>
      </w:r>
    </w:p>
    <w:p>
      <w:r>
        <w:t>4.  Бағалау (Assessment). Оқу нәтижелерін бағалау үдерісін жақсарту үшін цифрлық технологиялар мен стратегияларды пайдалану. Бұған онлайн тесттер, автоматтандырылған кері байланыс және оқу аналитикасы құралдары кіреді [1, 58 б.].</w:t>
      </w:r>
    </w:p>
    <w:p>
      <w:r>
        <w:t>5.  Білім алушылардың мүмкіндіктерін кеңейту (Empowering Learners). Цифрлық технологияларды инклюзияны, дербестендіруді және білім алушылардың белсенді араласуын қамтамасыз ету үшін қолдану.</w:t>
      </w:r>
    </w:p>
    <w:p>
      <w:r>
        <w:t>6.  Білім алушылардың цифрлық құзыреттілігін дамытуға ықпал ету (Facilitating Learners’ Digital Competence). Студенттерді ақпараттық, коммуникациялық, контент жасау, сауаттылық және мәселе шешу салаларында цифрлық технологияларды шығармашылықпен әрі жауапкершілікпен қолдануға баулу [2, 16 б.].</w:t>
      </w:r>
    </w:p>
    <w:p>
      <w:r>
        <w:t>Бұл модельдің негізгі өзегін 2–5 бағыттар құрайды. Олар оқытушының цифрлық педагогикалық құзыреттілігін, яғни тиімді, инклюзивті және инновациялық оқыту стратегияларын қалыптастыруға қажетті дағдыларды сипаттайды [2, 17 б.]. Мәселен, бір зерттеуде жасанды интеллект құралдарын қолдану тренингінен кейін педагогтердің цифрлық құзыреттілігінің DigCompEdu моделінің бірнеше бағыты, әсіресе «Цифрлық ресурстар» (Алаң 2) және «Білім алушылардың цифрлық құзыреттілігін дамыту» (Алаң 6) бағыттары бойынша айтарлықтай өскені анықталған [8, 115–116 б.].</w:t>
      </w:r>
    </w:p>
    <w:p>
      <w:r>
        <w:t>DigCompEdu стандарты оқытушының цифрлық құзыреттілігін бағалауға арналған алты деңгейлік шкаланы ұсынады. Ондағы деңгейлер Тілдерді меңгерудің жалпыеуропалық құрылымына (CEFR) ұқсас А1-ден С2-ге дейін белгіленген және әр деңгей алдыңғысының жетістіктеріне негізделе отырып, оқытушының технологияларды қолданудағы тәжірибесі мен стратегиялық ойлау қабілетінің дамуын көрсетеді [9, 542 б.].</w:t>
      </w:r>
    </w:p>
    <w:p>
      <w:r>
        <w:t>Қазақстандық педагогикалық әдебиетте бұл деңгейлер жаңадан бастаушы (A1), зерттеуші (A2), интегратор (B1), сарапшы (B2), көшбасшы (C1) және жаңашыл (C2) деп аталады [4, 53 б.]. Төменде осы деңгейлердің сипаттамасы берілген (1-кесте).</w:t>
      </w:r>
    </w:p>
    <w:tbl>
      <w:tblPr>
        <w:tblStyle w:val="TableGrid"/>
        <w:tblW w:type="auto" w:w="0"/>
        <w:tblLayout w:type="autofit"/>
        <w:tblLook w:firstColumn="1" w:firstRow="1" w:lastColumn="0" w:lastRow="0" w:noHBand="0" w:noVBand="1" w:val="04A0"/>
      </w:tblPr>
      <w:tblGrid>
        <w:gridCol w:w="3213"/>
        <w:gridCol w:w="3213"/>
        <w:gridCol w:w="3213"/>
      </w:tblGrid>
      <w:tr>
        <w:tc>
          <w:tcPr>
            <w:tcW w:type="dxa" w:w="3213"/>
          </w:tcPr>
          <w:p>
            <w:r>
              <w:rPr>
                <w:rFonts w:ascii="Times New Roman" w:hAnsi="Times New Roman"/>
                <w:b/>
                <w:sz w:val="28"/>
              </w:rPr>
              <w:t>Деңгей</w:t>
            </w:r>
          </w:p>
        </w:tc>
        <w:tc>
          <w:tcPr>
            <w:tcW w:type="dxa" w:w="3213"/>
          </w:tcPr>
          <w:p>
            <w:r>
              <w:rPr>
                <w:rFonts w:ascii="Times New Roman" w:hAnsi="Times New Roman"/>
                <w:b/>
                <w:sz w:val="28"/>
              </w:rPr>
              <w:t>Атауы</w:t>
            </w:r>
          </w:p>
        </w:tc>
        <w:tc>
          <w:tcPr>
            <w:tcW w:type="dxa" w:w="3213"/>
          </w:tcPr>
          <w:p>
            <w:r>
              <w:rPr>
                <w:rFonts w:ascii="Times New Roman" w:hAnsi="Times New Roman"/>
                <w:b/>
                <w:sz w:val="28"/>
              </w:rPr>
              <w:t>Сипаттамасы</w:t>
            </w:r>
          </w:p>
        </w:tc>
      </w:tr>
      <w:tr>
        <w:tc>
          <w:tcPr>
            <w:tcW w:type="dxa" w:w="3213"/>
          </w:tcPr>
          <w:p>
            <w:r>
              <w:rPr>
                <w:rFonts w:ascii="Times New Roman" w:hAnsi="Times New Roman"/>
                <w:sz w:val="28"/>
              </w:rPr>
              <w:t>A1</w:t>
            </w:r>
          </w:p>
        </w:tc>
        <w:tc>
          <w:tcPr>
            <w:tcW w:type="dxa" w:w="3213"/>
          </w:tcPr>
          <w:p>
            <w:r>
              <w:rPr>
                <w:rFonts w:ascii="Times New Roman" w:hAnsi="Times New Roman"/>
                <w:sz w:val="28"/>
              </w:rPr>
              <w:t>Жаңадан бастаушы (Newcomer)</w:t>
            </w:r>
          </w:p>
        </w:tc>
        <w:tc>
          <w:tcPr>
            <w:tcW w:type="dxa" w:w="3213"/>
          </w:tcPr>
          <w:p>
            <w:r>
              <w:rPr>
                <w:rFonts w:ascii="Times New Roman" w:hAnsi="Times New Roman"/>
                <w:sz w:val="28"/>
              </w:rPr>
              <w:t>Цифрлық технологиялардың педагогикалық әлеуетінен хабардар, бірақ оларды оқу үдерісінде сирек қолданады. Негізінен ресурстарды өз болашақ қажеттілігі үшін сақтайды.</w:t>
            </w:r>
          </w:p>
        </w:tc>
      </w:tr>
      <w:tr>
        <w:tc>
          <w:tcPr>
            <w:tcW w:type="dxa" w:w="3213"/>
          </w:tcPr>
          <w:p>
            <w:r>
              <w:rPr>
                <w:rFonts w:ascii="Times New Roman" w:hAnsi="Times New Roman"/>
                <w:sz w:val="28"/>
              </w:rPr>
              <w:t>A2</w:t>
            </w:r>
          </w:p>
        </w:tc>
        <w:tc>
          <w:tcPr>
            <w:tcW w:type="dxa" w:w="3213"/>
          </w:tcPr>
          <w:p>
            <w:r>
              <w:rPr>
                <w:rFonts w:ascii="Times New Roman" w:hAnsi="Times New Roman"/>
                <w:sz w:val="28"/>
              </w:rPr>
              <w:t>Зерттеуші (Explorer)</w:t>
            </w:r>
          </w:p>
        </w:tc>
        <w:tc>
          <w:tcPr>
            <w:tcW w:type="dxa" w:w="3213"/>
          </w:tcPr>
          <w:p>
            <w:r>
              <w:rPr>
                <w:rFonts w:ascii="Times New Roman" w:hAnsi="Times New Roman"/>
                <w:sz w:val="28"/>
              </w:rPr>
              <w:t>Қолжетімді технологияларды қолдана бастайды. Мысалы, оқу материалдарын электронды пошта арқылы немесе сілтеме ретінде бөліседі. Интернеттегі кейбір ресурстардың авторлық құқықпен қорғалатынын біледі.</w:t>
            </w:r>
          </w:p>
        </w:tc>
      </w:tr>
      <w:tr>
        <w:tc>
          <w:tcPr>
            <w:tcW w:type="dxa" w:w="3213"/>
          </w:tcPr>
          <w:p>
            <w:r>
              <w:rPr>
                <w:rFonts w:ascii="Times New Roman" w:hAnsi="Times New Roman"/>
                <w:sz w:val="28"/>
              </w:rPr>
              <w:t>B1</w:t>
            </w:r>
          </w:p>
        </w:tc>
        <w:tc>
          <w:tcPr>
            <w:tcW w:type="dxa" w:w="3213"/>
          </w:tcPr>
          <w:p>
            <w:r>
              <w:rPr>
                <w:rFonts w:ascii="Times New Roman" w:hAnsi="Times New Roman"/>
                <w:sz w:val="28"/>
              </w:rPr>
              <w:t>Интегратор (Integrator)</w:t>
            </w:r>
          </w:p>
        </w:tc>
        <w:tc>
          <w:tcPr>
            <w:tcW w:type="dxa" w:w="3213"/>
          </w:tcPr>
          <w:p>
            <w:r>
              <w:rPr>
                <w:rFonts w:ascii="Times New Roman" w:hAnsi="Times New Roman"/>
                <w:sz w:val="28"/>
              </w:rPr>
              <w:t>Цифрлық технологияларды оқыту үдерісіне мақсатты түрде кіріктіреді. Ресурстарды виртуалды оқыту орталарына (LMS) жүктейді, сезімтал мазмұнды (мысалы, емтихан сұрақтарын) тиімді қорғай алады.</w:t>
            </w:r>
          </w:p>
        </w:tc>
      </w:tr>
      <w:tr>
        <w:tc>
          <w:tcPr>
            <w:tcW w:type="dxa" w:w="3213"/>
          </w:tcPr>
          <w:p>
            <w:r>
              <w:rPr>
                <w:rFonts w:ascii="Times New Roman" w:hAnsi="Times New Roman"/>
                <w:sz w:val="28"/>
              </w:rPr>
              <w:t>B2</w:t>
            </w:r>
          </w:p>
        </w:tc>
        <w:tc>
          <w:tcPr>
            <w:tcW w:type="dxa" w:w="3213"/>
          </w:tcPr>
          <w:p>
            <w:r>
              <w:rPr>
                <w:rFonts w:ascii="Times New Roman" w:hAnsi="Times New Roman"/>
                <w:sz w:val="28"/>
              </w:rPr>
              <w:t>Сарапшы (Expert)</w:t>
            </w:r>
          </w:p>
        </w:tc>
        <w:tc>
          <w:tcPr>
            <w:tcW w:type="dxa" w:w="3213"/>
          </w:tcPr>
          <w:p>
            <w:r>
              <w:rPr>
                <w:rFonts w:ascii="Times New Roman" w:hAnsi="Times New Roman"/>
                <w:sz w:val="28"/>
              </w:rPr>
              <w:t>Цифрлық технологияларды педагогикалық стратегияларды жетілдіру үшін мақсатты түрде пайдаланады. Ресурстарды цифрлық ортаға ендіріп (embedding), авторлық құқығы бар материалдарға дұрыс сілтеме жасайды.</w:t>
            </w:r>
          </w:p>
        </w:tc>
      </w:tr>
      <w:tr>
        <w:tc>
          <w:tcPr>
            <w:tcW w:type="dxa" w:w="3213"/>
          </w:tcPr>
          <w:p>
            <w:r>
              <w:rPr>
                <w:rFonts w:ascii="Times New Roman" w:hAnsi="Times New Roman"/>
                <w:sz w:val="28"/>
              </w:rPr>
              <w:t>C1</w:t>
            </w:r>
          </w:p>
        </w:tc>
        <w:tc>
          <w:tcPr>
            <w:tcW w:type="dxa" w:w="3213"/>
          </w:tcPr>
          <w:p>
            <w:r>
              <w:rPr>
                <w:rFonts w:ascii="Times New Roman" w:hAnsi="Times New Roman"/>
                <w:sz w:val="28"/>
              </w:rPr>
              <w:t>Көшбасшы (Leader)</w:t>
            </w:r>
          </w:p>
        </w:tc>
        <w:tc>
          <w:tcPr>
            <w:tcW w:type="dxa" w:w="3213"/>
          </w:tcPr>
          <w:p>
            <w:r>
              <w:rPr>
                <w:rFonts w:ascii="Times New Roman" w:hAnsi="Times New Roman"/>
                <w:sz w:val="28"/>
              </w:rPr>
              <w:t>Өзі жасаған цифрлық ресурстарды жариялайды және оларды басқа оқытушыларға қолжетімді етеді. Тәжірибесімен бөлісіп, әріптестеріне тәлімгерлік етеді. Өзі жариялаған ресурстарға лицензия қолданады.</w:t>
            </w:r>
          </w:p>
        </w:tc>
      </w:tr>
      <w:tr>
        <w:tc>
          <w:tcPr>
            <w:tcW w:type="dxa" w:w="3213"/>
          </w:tcPr>
          <w:p>
            <w:r>
              <w:rPr>
                <w:rFonts w:ascii="Times New Roman" w:hAnsi="Times New Roman"/>
                <w:sz w:val="28"/>
              </w:rPr>
              <w:t>C2</w:t>
            </w:r>
          </w:p>
        </w:tc>
        <w:tc>
          <w:tcPr>
            <w:tcW w:type="dxa" w:w="3213"/>
          </w:tcPr>
          <w:p>
            <w:r>
              <w:rPr>
                <w:rFonts w:ascii="Times New Roman" w:hAnsi="Times New Roman"/>
                <w:sz w:val="28"/>
              </w:rPr>
              <w:t>Жаңашыл (Pioneer)</w:t>
            </w:r>
          </w:p>
        </w:tc>
        <w:tc>
          <w:tcPr>
            <w:tcW w:type="dxa" w:w="3213"/>
          </w:tcPr>
          <w:p>
            <w:r>
              <w:rPr>
                <w:rFonts w:ascii="Times New Roman" w:hAnsi="Times New Roman"/>
                <w:sz w:val="28"/>
              </w:rPr>
              <w:t>Оқытудың жаңа форматтары мен педагогикалық әдістерін әзірлеп, тәжірибеден өткізеді. Өзінің қосымшаларын немесе ойындарын жасай алады. Басқаларға өзінің ресурстарын өзгертуге, толықтыруға мүмкіндік береді.</w:t>
            </w:r>
          </w:p>
        </w:tc>
      </w:tr>
    </w:tbl>
    <w:p/>
    <w:p>
      <w:r>
        <w:t>Дереккөз: Redecker (2017) [2, 49, 53 б.] және Бузаубакова (2024) [4, 53 б.] материалдары негізінде құрастырылды.</w:t>
      </w:r>
    </w:p>
    <w:p>
      <w:r>
        <w:t>Мысалы, ресейлік зерттеушілер ұсынған «инноваторлар», «популяризаторлар» және «рутинёрлер» жіктемесі осы деңгейлермен үндеседі [7, 164–165 б.]. «Инноваторлар» тобы жаңа технологияларды белсенді іздеп, оқу үдерісіне енгізетін C1-C2 деңгейіндегі оқытушыларға сәйкес келеді. Ал «рутинёрлер» A1-A2 деңгейіндегі оқытушылар тобын сипаттайды: олар цифрлық инновацияларға теріс көзқарас танытып, технологияны қолданудан бас тартады [7, 165 б.]. Демек, DigCompEdu құрылымы оқытушылардың даму траекториясын анықтап, оларға қажетті қолдау мен оқыту бағдарламаларын әзірлеуге негіз болады.</w:t>
      </w:r>
    </w:p>
    <w:p>
      <w:r>
        <w:t>Оқытушылардың цифрлық құзыреттілігін жүйелі дамытудың негізгі құралы — біліктілікті арттыру курстары мен тренингтер [5, 147 б.]. Мұндай бағдарламалардың тиімділігі олардың мазмұнының өзектілігіне және әдістемелік тұрғыдан дұрыс құрылуына тікелей байланысты. Сондықтан оқыту бағдарламалары нақты құралдарды қолдануды үйретумен қатар, цифрлық педагогика негіздерін, яғни технологияларды оқу мақсаттарына жету үшін тиімді пайдалану әдістемесін қамтуы тиіс [5, 148 б.; 11, 177 б.].</w:t>
      </w:r>
    </w:p>
    <w:p>
      <w:r>
        <w:t>Қырғыз мемлекеттік техникалық университетінде жүргізілген «Цифрлық оқытушы» бағдарламасының тәжірибесі осындай курстың мазмұнына жақсы мысал бола алады. Бұл бағдарлама келесі тақырыптарды қамтыған:</w:t>
      </w:r>
    </w:p>
    <w:p>
      <w:r>
        <w:t>Курстың жұмыс оқу бағдарламасы мен силлабусын құру;</w:t>
      </w:r>
    </w:p>
    <w:p>
      <w:r>
        <w:t>Видеодәрістерді түсіру және өңдеу (мысалы, OBS Studio көмегімен);</w:t>
      </w:r>
    </w:p>
    <w:p>
      <w:r>
        <w:t>Moodle оқытуды басқару жүйесінде (LMS) курс контентін құру және толтыру;</w:t>
      </w:r>
    </w:p>
    <w:p>
      <w:r>
        <w:t>Moodle жүйесінің «Дәріс», «Тест», «Тапсырма», «Кері байланыс» сияқты элементтерін құрастыру;</w:t>
      </w:r>
    </w:p>
    <w:p>
      <w:r>
        <w:t>Интерактивті тақталар мен видеоконференция байланыс жүйелерін (Zoom) пайдалану [10, 63 б.].</w:t>
      </w:r>
    </w:p>
    <w:p>
      <w:r>
        <w:t>Курс соңында әр оқытушы өз пәні бойынша веб-негізделген контент әзірлеп, оны комиссия алдында қорғауы тиіс болды. Сондай-ақ бағдарлама материалдарының мәтін, презентация және video форматтарында ұсынылуы әртүрлі оқу стиліне ие тыңдаушылар үшін тиімді болғаны атап өтілген [10, 64 б.].</w:t>
      </w:r>
    </w:p>
    <w:p>
      <w:r>
        <w:t>Бұдан бөлек, біліктілікті арттыру бағдарламаларында Bilimland, Daryn Online, Coursera, Khan Academy сияқты білім беру платформаларын, сондай-ақ Google Forms, Kahoot, Quizizz сияқты интерактивті құралдарды қолдану қарастырылуы қажет [5, 148 б.]. Бұған қоса, цифрлық қауіпсіздік және деректерді қорғау мәселелері — маңызды компонент, себебі оқытушылар студенттердің жеке деректерін қорғауға жауапты [5, 147 б.].</w:t>
      </w:r>
    </w:p>
    <w:p>
      <w:r>
        <w:t>Оқыту үдерісін ұйымдастыруда «аралас оқыту» (blended learning), «төңкерілген сынып» (flipped classroom) сияқты заманауи модельдерді және жаппай ашық онлайн курстарды (MOOC) тиімді пайдалану әдістері де курстар мазмұнына енгізілуі тиіс [3, 48, 83-85 б.]. Мұндай әдістемелік қолдау оқытушыларға технологияны меңгеруге әрі оны өз педагогикалық практикасын тереңінен қайта құру үшін пайдалануға мүмкіндік береді.</w:t>
      </w:r>
    </w:p>
    <w:p>
      <w:pPr>
        <w:pStyle w:val="Heading2"/>
      </w:pPr>
      <w:bookmarkStart w:id="113" w:name="_Toc_heading_13"/>
      <w:r>
        <w:t>3.3. Жоғары оқу орындарының цифрлық білім беру ортасын қалыптастыру бойынша ұсыныстар</w:t>
      </w:r>
      <w:bookmarkEnd w:id="113"/>
    </w:p>
    <w:p>
      <w:r>
        <w:t>Жоғары білім беру жүйесін цифрлық трансформациялау — оқу үдерісін, басқару тетіктерін, білім беру мазмұны мен әдістемесін түбегейлі қайта құруды талап ететін кешенді процесс. Бұл тек технологияларды енгізумен шектелмейді. Алдыңғы тарауларда жүргізілген теориялық талдау мен халықаралық тәжірибені саралау нәтижелері Қазақстан жоғары оқу орындары үшін цифрлық білім беру ортасын (ЦББО) қалыптастырудың жүйелі жолдарын әзірлеуге негіз болады. Осы ретте инфрақұрылымдық, мазмұндық, ұйымдастырушылық және коллаборативтік аспектілерді қамтитын нақты ұсыныстарды қарастырған жөн.</w:t>
      </w:r>
    </w:p>
    <w:p>
      <w:r>
        <w:t>Цифрлық білім беру ортасының тиімділігі оның іргетасы саналатын инфрақұрылымның сапасына тікелей тәуелді. Мысалы, Ресейде астаналық ЖОО студенттерінің 82,4%-ы видеодәрістерге қатыса алса, аймақтарда бұл көрсеткіш екі есе төмен, яғни 40,3% құраған [21, б.12]. Қазақстанда да ғаламтордың өңірлерде біркелкі таралмауы, әсіресе қазақ тіліндегі электронды оқулықтар мен оқу-әдістемелік құралдардың қолжетімділігінің төмендігі студенттер үшін негізгі қиындықтардың бірі болып отыр [2, б.58]. Осыған байланысты, біріншіден, инфрақұрылымды стандарттап, цифрлық теңсіздікті жою ұсынылады. Мәселен, Сингапурда АКТ-ны дамытудың бірінші бағдарламасы базалық инфрақұрылымды қалыптастыруға бағытталып, бастауыш мектептерде бір компьютерге 6,6 оқушыдан, ал жоғары мектептерде 5 оқушыдан келетін көрсеткішке қол жеткізілген [21, б.13]. Осыған сүйене отырып, Қазақстандағы әрбір ЖОО үшін кеңжолақты интернетке қосылу, компьютерлік сыныптар мен мультимедиалық аудиторияларды жабдықтау бойынша минималды ұлттық стандарттар әзірленуі қажет. Екіншіден, орталықтандырылған платформалар мен «бұлттық» технологияларды дамыту керек, себебі әр университеттің жеке-жеке қымбат бағдарламалық жасақтаманы сатып алуы және оған техникалық қызмет көрсетуі айтарлықтай қаржылық ауыртпалық тудырады. Бұл мәселені шешу үшін Ресейде ұсынылған «Национальная облачная платформа О7» немесе «Маркетплейс программного обеспечения и оборудования» сияқты жобалар озық тәжірибе ретінде қарастырылуы мүмкін [1; 3]. Мұндай платформалар лицензиялық бағдарламаларға, электронды кітапханаларға және ғылыми дерекқорларға ортақ қолжетімділік ұсынып, университеттердің шығынын азайтады әрі ресурстарды тиімді пайдалануға жағдай жасайды.</w:t>
      </w:r>
    </w:p>
    <w:p>
      <w:r>
        <w:t>Технология — мақсат емес, құрал. Цифрлық білім беру ортасын құрудағы негізгі міндет — оқытудың мазмұнын, әдістері мен ұйымдастыру формаларын жаңарту [2, б.60]. Мысалы, бір зерттеу бойынша оқытушылардың тек 23%-ы ғана студенттердің онлайн белсенділігін үнемі талдап отыратыны анықталған [21, б.12]. Бұл ретте, біріншіден, қазақ тіліндегі цифрлық білім беру контентін дамыту өзекті. Отандық зерттеулердегі негізгі мәселелердің бірі — қазақ тіліндегі сапалы электронды оқу-әдістемелік материалдардың тапшылығы [2, б.58]. Сол себепті ғылымның барлық саласы бойынша оқулықтардың, монографиялардың, диссертациялық зерттеулердің электронды нұсқасын жасап, оларды ортақ ұлттық платформа арқылы баршаға қолжетімді етуді мемлекеттік деңгейде қолға алу қажет. Бұл шара білім беру ресурстарының қолжетімділігін арттырып, плагиат қаупін азайтуға да септігін тигізеді. Екіншіден, жеке білім беру траекториясын (ЖББТ) енгізу маңызды. Цифрлық технологиялар әр студенттің қажеттілігі мен қызығушылығына негізделген жеке оқу жоспарын құруға мүмкіндік береді [2, б.59]. Бұл үшін университеттер өздерінің білім беру платформаларында (мысалы, Moodle, Google Classroom) бейімделгіш оқыту модульдерін, онлайн-тренажерлерді, виртуалды зертханаларды және симуляторларды белсенді қолдануы тиіс [1, б.60]. Жасанды интеллект элементтерін қолдану арқылы студенттің үлгерімін талдап, оған қосымша материалдар немесе күрделірек тапсырмалар автоматты түрде ұсынылатын жүйелерді енгізу — оқыту сапасын арттырудың тиімді жолы.</w:t>
      </w:r>
    </w:p>
    <w:p>
      <w:r>
        <w:t>Цифрлық трансформация — технологиялық жаңару әрі ұйымдастырушылық және мәдени өзгеріс [1, б.62]. Тиісінше, оны сәтті жүзеге асыру үшін басқару тәсілдерін өзгерту және кадрлық әлеуетті дамыту қажет. Ол үшін әрбір ЖОО өзінің даму стратегиясы аясында «Цифрлық университет» кешенді стратегиясын, яғни цифрлық трансформацияның нақты жоспарын жасауы керек. Бұл стратегия оқу процесі, ғылыми-зерттеу жұмысы, әкімшілік-шаруашылық қызмет, қаржылық жоспарлау сияқты университеттің барлық қызметін қамтуы тиіс [3, б.74]. Ресейдің «Ғылым және жоғары білім саласын цифрлық трансформациялау стратегиясы» бес негізгі бағытты анықтайды: трансформация архитектурасы, цифрлық сервистерді дамыту, деректерді басқару, инфрақұрылымды жаңғырту және кадрлық әлеуетті басқару [1, б.54-55]. Осы тәжірибе негізінде қазақстандық университеттер де өздерінің стратегиялық құжаттарын әзірлей алады. Сонымен бірге оқытушылар мен қызметкерлердің цифрлық құзыреттілігін арттыру қажет. Университеттер оқытушы-профессорлар құрамы үшін цифрлық педагогика, заманауи платформаларды (Microsoft Teams, Zoom, Moodle) қолдану, онлайн курстар әзірлеу бойынша міндетті біліктілікті арттыру курстарын ұйымдастыруы тиіс. Бұған қоса, білім беру бағдарламаларына студенттердің цифрлық сауаттылығын, медиасауаттылығын және ақпараттық қауіпсіздік дағдыларын қалыптастыратын «Цифрлық педагогика» немесе «Киберпедагогика» сияқты міндетті пәндерді енгізу ұсынылады [2, б.60].</w:t>
      </w:r>
    </w:p>
    <w:p>
      <w:r>
        <w:t>Сондай-ақ цифрлық ортаның «цифрлық жетілу» деңгейін бағалау жүйесін енгізу маңызды. Цифрландыру бойынша жүзеге асырылған шаралардың тиімділігін анықтау үшін нақты бағалау критерийлерін енгізу қажет [7, б.2]. Ресейлік тәжірибеге сүйеніп, бағалауды бес негізгі бағыт бойынша жүргізуге болады: 1) цифрлық трансформация архитектурасы; 2) цифрлық сервистерді дамыту; 3) деректерді басқару; 4) инфрақұрылымды жаңғырту; 5) кадрлық әлеуетті басқару [1, б.54-55]. Бұл бағыттар бойынша ЖОО-ның жетістіктерін өлшеу оның стратегиялық мақсаттарға жетудегі ілгерілеуін көрсетеді. Бұдан бөлек, бағалау критерийлері техникалық және ұйымдастырушылық аспектілермен шектелмеуі тиіс. Ол білім беру үдерісінің негізгі қатысушылары — студенттер мен оқытушылардың тәжірибесін де қамтуы керек. Ол үшін білім беру ресурстарының сапасы мен әртүрлілігі, атап айтқанда оқыту, жаттығу, бақылау және модельдеуге арналған электронды құралдардың болуы [22, б.9-10], қолданушылардың цифрлық сервистерге қанағаттану деңгейі [2; 7], сондай-ақ интерактивтілік пен жеке білім беру траекторияларын құру мүмкіндігінің тиімділігі [6, б.186] сияқты нақты көрсеткіштерді бағалау ұсынылады. Осындай кешенді бағалау жүйесін енгізу цифрлық ортаны үнемі жетілдіріп отыруға және оның білім беру сапасын арттыруға бағытталған нақты құралға айналуын қамтамасыз етеді.</w:t>
      </w:r>
    </w:p>
    <w:p>
      <w:r>
        <w:t>Бүгінгі таңда жекелеген университеттердің бәсекелестігінен гөрі, олардың ресурстарын біріктіру арқылы ортақ мақсатқа жетудің маңызы арта түсуде. Коллаборация «4К» ұғымдарын, яғни кооперация (бірігу), коммуникация (байланыс), координация (үйлестіру) және креативтілікті (табысты іс-әрекет) біріктіреді [6, б.5]. Осы орайда отандық ғылымда педагогикалық білім беру саласындағы ЖОО-лар арасында коллаборативті педагогикалық консорциум құру идеясы белсенді талқылануда [6, б.5]. Бұл — педагогикалық білім беру ресурстарына ортақ қолжетімділікті қамтамасыз ететін интеллектуалды инновациялық виртуалды білім беру ұйымы. М.Х. Дулати атындағы Тараз университеті, І. Жансүгіров атындағы Жетісу университеті, Ы. Алтынсарин атындағы Арқалық педагогикалық институты сияқты оқу орындарының бірігіп, `https://edu-collaboration.kz/` порталын ашуы осындай ынтымақтастықтың нақты мысалы болып табылады [6, б.6]. Мұндай консорциумдар мен ортақ платформалар университеттерге бірлесіп онлайн курстар әзірлеуге, ғылыми жобаларды жүзеге асыруға және үздік тәжірибелермен алмасуға мүмкіндік береді.</w:t>
      </w:r>
    </w:p>
    <w:p>
      <w:r>
        <w:t>Жоғарыда аталған ұсыныстарды жүзеге асыру қазақстандық жоғары білім беру жүйесінің бәсекеге қабілеттілігін арттырып, цифрлық экономика талаптарына сай мамандар даярлауға ықпал етеді. Ол үздіксіз мониторингті, бағалауды және түзетуді қажет етеді. Нәтижесінде оның табыстылығы тек қаржылық ресурстарға ғана емес, білім беру ұйымдарының стратегиялық көзқарасы мен ерік-жігеріне де байланысты болмақ [2, б.59].</w:t>
      </w:r>
    </w:p>
    <w:p>
      <w:r>
        <w:br w:type="page"/>
      </w:r>
    </w:p>
    <w:p>
      <w:pPr>
        <w:pStyle w:val="Heading1"/>
      </w:pPr>
      <w:bookmarkStart w:id="114" w:name="_Toc_heading_14"/>
      <w:r>
        <w:t>Қорытынды</w:t>
      </w:r>
      <w:bookmarkEnd w:id="114"/>
    </w:p>
    <w:p>
      <w:r>
        <w:t>Жоғары білім беру жүйесін цифрлық трансформациялау — оқытудың мазмұны мен әдістемесін түбегейлі қайта қарауды талап ететін жаһандық үдеріс. Осыған орай, аталған магистрлік диссертацияда жоғары оқу орындарының оқу үдерісінде цифрлық технологияларды тиімді қолданудың педагогикалық-әдістемелік негіздерін теориялық тұрғыдан негіздеу және оны жетілдіру бойынша практикалық ұсыныстар әзірлеу мақсаты қойылды. Қойылған мақсатқа жету үшін зерттеу барысында білім беруді цифрландырудың теориялық негіздері талданып, негізгі технологиялардың дидактикалық мүмкіндіктері анықталды, халықаралық және отандық тәжірибе сараланып, озық педагогикалық модельдер мен оқытушылардың цифрлық құзыреттілігін дамыту жолдары қарастырылды. Жүргізілген зерттеу нәтижесінде төмендегідей негізгі тұжырымдар жасалды.</w:t>
      </w:r>
    </w:p>
    <w:p>
      <w:r>
        <w:t>Біріншіден, зерттеудің теориялық бөлімінде жоғары білім беруді цифрландырудың ұғымдық аппараты нақтыланды. «Оцифрлау», «цифрландыру» және «цифрлық трансформация» ұғымдарының аражігі ажыратылып, соңғысы технологияны енгізумен шектелмей, білім берудің бүкіл парадигмасын өзгертетін кешенді үдеріс екені көрсетілді. Бұл үдерістің теориялық негізі — дәстүрлі дидактикалық қағидаларды цифрлық ортаның ерекшеліктеріне бейімдейтін «цифрлық дидактика» атты жаңа ғылыми бағыттың қалыптасуы. Сондай-ақ цифрлық трансформация дәстүрлі «білім беруші — білім алушы» қатынасын өзгертеді: оқытушы ақпарат көзінен оқу үдерісін жобалаушы, фасилитатор және кураторға айналса, студент білімді пассивті қабылдаушыдан оқу үдерісінің белсенді қатысушысына, яғни өз оқуына жауапты субъектіге трансформацияланады.</w:t>
      </w:r>
    </w:p>
    <w:p>
      <w:r>
        <w:t>Екіншіден, жоғары оқу орындарында қолданылатын цифрлық технологиялардың түрлері мен оларды енгізудің халықаралық және отандық тәжірибесіне жасалған талдау бірқатар маңызды жайтты көрсетті. LMS платформалары мен MOOC-тар білімге қолжетімділікті қамтамасыз ететін базалық инфрақұрылымға айналса, виртуалды (VR) және толықтырылған (AR) шындық, жасанды интеллект (ЖИ) сияқты озық технологиялар оқытуды жекелендіру мен интерактивтілікті арттыруға зор әлеуетке ие екені байқалды. Дамыған елдердің тәжірибесі цифрландырудың табысты болуы оқытушылардың дайындығына, сапаны қамтамасыз ету жүйесіне және педагогикалық тәсілдерді жаңартуға тікелей байланысты екенін дәлелдейді. Қазақстанда «Цифрлық Қазақстан» бағдарламасы аясында инфрақұрылымды дамытуда айтарлықтай жетістіктерге қол жеткізілгенімен, бұл үдеріс әлі де негізінен техникалық сипатта қалып, оқытудың педагогикалық мазмұнын терең трансформациялауға толық ұласпай отыр. Негізгі кедергілер де анықталды. Олар — оқытушылар құзыреттілігінің жеткіліксіздігі, сапалы қазақтілді контенттің тапшылығы және өңірлер арасындағы «цифрлық теңсіздік».</w:t>
      </w:r>
    </w:p>
    <w:p>
      <w:r>
        <w:t>Үшіншіден, технологияларды тиімді қолдану жолдары зерттелді. Технологиялық құралдардың тиімділігі олардың педагогикалық мақсаттарға қаншалықты сай қолданылуына байланысты екені дәлелденді. Бұл ретте «аралас оқыту», оның ішінде «аударылған сынып» моделі, жобаға негізделген оқыту және «продюсер ретіндегі студент» сияқты озық педагогикалық тәжірибелер студенттердің белсенділігін, ынтасын және жауапкершілігін арттырудың тиімді жолдары ретінде сипатталды. Оқытушыларға технологияларды оқу үдерісіне саналы түрде интеграциялауға көмектесетін SAMR және TPACK халықаралық модельдерінің теориялық негіздері мен практикалық қолданысы талданды. Бұған қоса, оқытушылардың цифрлық құзыреттілігін дамытудың негізгі құралы ретінде Еуропалық комиссия әзірлеген DigCompEdu стандарты қарастырылып, оның алты құзыреттілік саласы мен алты даму деңгейі (А1-ден С2-ге дейін) оқытушылардың біліктілігін арттыру бағдарламаларын әзірлеуге негіз бола алатыны көрсетілді.</w:t>
      </w:r>
    </w:p>
    <w:p>
      <w:r>
        <w:t>Жүргізілген зерттеу жоғары оқу орындарында цифрлық технологияларды тиімді қолдану техникалық жабдықтаудан гөрі, педагогикалық және ұйымдастырушылық өзгерістерді талап ететін кешенді міндет екенін көрсетті. Оның табыстылығы технологияның өзіне емес, оны қолданатын оқытушының педагогикалық шеберлігіне, оқу үдерісін жаңаша жобалай білуіне және студенттің белсенділігін ынталандыратын орта қалыптастыруына байланысты. Цифрландыру дәстүрлі оқыту әдістерін алмастырмайды, керісінше, оларды байытып, жаңа мүмкіндіктермен толықтырады. Осылайша, зерттеу мақсатына толық қол жеткізілді. Цифрлық технологияларды тиімді қолданудың педагогикалық-әдістемелік негіздері теориялық тұрғыдан негізделіп, Қазақстанның жоғары білім беру жүйесін жетілдіруге бағытталған нақты ұсыныстар әзірленді.</w:t>
      </w:r>
    </w:p>
    <w:p>
      <w:r>
        <w:t>Магистрлік диссертацияның теориялық маңыздылығы жоғары. Зерттеу білім беруді цифрландырудың ұғымдық-терминологиялық аппаратын жүйелеп, SAMR, TPACK, DigCompEdu сияқты халықаралық модельдерді қазақстандық білім беру контексінде талдайды және олардың теориялық мәнін ашады. Жұмыстың практикалық құндылығы да бар: зерттеу нәтижелері мен ұсыныстарын жоғары оқу орындарының цифрлық білім беру ортасын қалыптастыру, білім беру бағдарламаларын жаңарту және оқытушылардың біліктілігін арттыру курстарының мазмұнын жетілдіруде әдістемелік құрал ретінде қолдануға болады.</w:t>
      </w:r>
    </w:p>
    <w:p>
      <w:r>
        <w:t>Бұл зерттеу цифрландырудың барлық аспектісін қамтымайды. Сондықтан болашақта зерттеуді бірнеше бағытта жалғастыру маңызды. Біріншіден, оқу үдерісіне жасанды интеллект негізіндегі технологияларды (мысалы, KazLLM сияқты тілдік модельдерді) енгізудің студенттердің академиялық жетістіктеріне және сыни ойлау дағдыларына тигізетін ұзақмерзімді әсерін эмпирикалық тұрғыдан зерттеу өзекті. Екіншіден, Қазақстан жағдайында оқытушылардың цифрлық құзыреттілігін бағалаудың ұлттық стандарттарға негізделген валидті диагностикалық құралдарын әзірлеу және тәжірибеден өткізу қажет. Үшіншіден, медицина, инженерия, өнер сияқты нақты пәндік салаларда виртуалды және толықтырылған шындық технологияларын қолданудың педагогикалық тиімділігін эксперименттік зерттеулер арқылы дәлелдеудің ғылыми маңызы зор. Бұл бағыттардағы зерттеулер цифрлық технологиялардың педагогикалық әлеуетін тереңірек ашып, отандық жоғары білім беру сапасын арттыруға ықпал етеді.</w:t>
      </w:r>
    </w:p>
    <w:p>
      <w:r>
        <w:br w:type="page"/>
      </w:r>
    </w:p>
    <w:p>
      <w:pPr>
        <w:pStyle w:val="Heading1"/>
      </w:pPr>
      <w:r>
        <w:t>ПАЙДАЛАНЫЛҒАН ӘДЕБИЕТТЕР ТІЗІМІ</w:t>
      </w:r>
    </w:p>
    <w:p>
      <w:pPr>
        <w:ind w:left="709" w:hanging="709"/>
      </w:pPr>
      <w:r>
        <w:t xml:space="preserve">1 Валеева, Г.В. ЦИФРОВАЯ ТРАНСФОРМАЦИЯ ОБРАЗОВАНИЯ В РОССИЙСКОЙ ВЫСШЕЙ ШКОЛЕ: СОЦИАЛЬНО-ЭТИЧЕСКИЙ АНАЛИЗ. – Тульский государственный педагогический университет им. Л.Н. Толстого, 2024. URL: </w:t>
      </w:r>
      <w:hyperlink r:id="rId12">
        <w:r>
          <w:rPr>
            <w:color w:val="0563C1"/>
            <w:u w:val="single"/>
          </w:rPr>
          <w:t xml:space="preserve">http://ivanovo.ac.ru/upload/medialibrary/726/72677b6e1ba89ab92590a58ba1a2446e.pdf</w:t>
        </w:r>
      </w:hyperlink>
      <w:r>
        <w:t xml:space="preserve"> (Дата обращения: 17.09.2026).</w:t>
      </w:r>
    </w:p>
    <w:p>
      <w:pPr>
        <w:ind w:left="709" w:hanging="709"/>
      </w:pPr>
      <w:r>
        <w:t xml:space="preserve">2 Сүлейменова, Ж.Т., Сейітқазы, П.Б. Кәсіптік білім беруді цифрландыру бәсекеге қабілетті мамандарды даярлаудың басты шарты ретінде // Серия «Педагогика». – 2022. – Т. 3, № 107. – Б. 53-62. DOI: </w:t>
      </w:r>
      <w:hyperlink r:id="rId13">
        <w:r>
          <w:rPr>
            <w:color w:val="0563C1"/>
            <w:u w:val="single"/>
          </w:rPr>
          <w:t xml:space="preserve">https://doi.org/10.31489/2022Ped3/53-62</w:t>
        </w:r>
      </w:hyperlink>
      <w:r>
        <w:t>.</w:t>
      </w:r>
      <w:r>
        <w:t xml:space="preserve"> URL: </w:t>
      </w:r>
      <w:hyperlink r:id="rId14">
        <w:r>
          <w:rPr>
            <w:color w:val="0563C1"/>
            <w:u w:val="single"/>
          </w:rPr>
          <w:t xml:space="preserve">https://pedagogy-vestnik.buketov.edu.kz/pedagogy-vestnik/article/download/259/237/474</w:t>
        </w:r>
      </w:hyperlink>
      <w:r>
        <w:t xml:space="preserve"> (қаралған күні: 17.09.2026).</w:t>
      </w:r>
    </w:p>
    <w:p>
      <w:pPr>
        <w:ind w:left="709" w:hanging="709"/>
      </w:pPr>
      <w:r>
        <w:t xml:space="preserve">3 Блинова, Т.В. Цифровая трансформация высшего образования – вызов времени: аннотированный библиографический указатель / под ред. С.А. Беляевой, С.В. Мусиной. – Научная библиотека Челябинского государственного университета, 2021. URL: </w:t>
      </w:r>
      <w:hyperlink r:id="rId15">
        <w:r>
          <w:rPr>
            <w:color w:val="0563C1"/>
            <w:u w:val="single"/>
          </w:rPr>
          <w:t xml:space="preserve">http://library.csu.ru/media/files/docs/publications/cyber.pdf</w:t>
        </w:r>
      </w:hyperlink>
      <w:r>
        <w:t xml:space="preserve"> (Дата обращения: 17.09.2026).</w:t>
      </w:r>
    </w:p>
    <w:p>
      <w:pPr>
        <w:ind w:left="709" w:hanging="709"/>
      </w:pPr>
      <w:r>
        <w:t xml:space="preserve">4 ДИДАКТИЧЕСКАЯ КОНЦЕПЦИЯ ЦИФРОВОГО ПРОФЕССИОНАЛЬНОГО ОБРАЗОВАНИЯ И ОБУЧЕНИЯ [Электронный ресурс] / П.Н. Биленко, В.И. Блинов, М.В. Дулинов, Е.Ю. Есенина, А.М. Кондаков, И.С. Сергеев ; под ред. В.И. Блинова. – Перо, 2019. ISBN 978-5-00150-. URL: </w:t>
      </w:r>
      <w:hyperlink r:id="rId16">
        <w:r>
          <w:rPr>
            <w:color w:val="0563C1"/>
            <w:u w:val="single"/>
          </w:rPr>
          <w:t xml:space="preserve">https://murindkol.ru/img/all/35_koncepciya_cd_xi_2019_verstka.pdf</w:t>
        </w:r>
      </w:hyperlink>
      <w:r>
        <w:t xml:space="preserve"> (Дата обращения: 17.09.2026).</w:t>
      </w:r>
    </w:p>
    <w:p>
      <w:pPr>
        <w:ind w:left="709" w:hanging="709"/>
      </w:pPr>
      <w:r>
        <w:t xml:space="preserve">5 Васик, Б., Сардарова, Ж.И. ЖОҒАРЫ БІЛІМДЕГІ ЦИФРЛЫҚ ТРАНСФОРМАЦИЯ: МҮМКІНДІКТЕР МЕН ҚАУІП-ҚАТЕРЛЕР // Қ.Жұбанов атындағы Ақтөбе өңірлік университетінің хабаршысы. – 2025. – Т. 2, № 80. – Б. 180-184. DOI: </w:t>
      </w:r>
      <w:hyperlink r:id="rId17">
        <w:r>
          <w:rPr>
            <w:color w:val="0563C1"/>
            <w:u w:val="single"/>
          </w:rPr>
          <w:t xml:space="preserve">https://doi.org/10.70239/arsu.2025.t80.n2.21</w:t>
        </w:r>
      </w:hyperlink>
      <w:r>
        <w:t>.</w:t>
      </w:r>
      <w:r>
        <w:t xml:space="preserve"> URL: </w:t>
      </w:r>
      <w:hyperlink r:id="rId18">
        <w:r>
          <w:rPr>
            <w:color w:val="0563C1"/>
            <w:u w:val="single"/>
          </w:rPr>
          <w:t xml:space="preserve">https://vestnik.arsu.kz/index.php/hab/article/download/554/535/2927</w:t>
        </w:r>
      </w:hyperlink>
      <w:r>
        <w:t xml:space="preserve"> (қаралған күні: 17.09.2026).</w:t>
      </w:r>
    </w:p>
    <w:p>
      <w:pPr>
        <w:ind w:left="709" w:hanging="709"/>
      </w:pPr>
      <w:r>
        <w:t xml:space="preserve">6 M.H.DULATY TARAZ UNIVERSITY. БІЛІМ БЕРУДЕГІ ЦИФРЛЫҚ КОЛЛАБОРАЦИЯ: ИННОВАЦИЯ, ТЕХНОЛОГИЯ ЖӘНЕ ӘДІСТЕМЕ [Электрондық ресурс] / ред. К.Д. Бузаубакова. – M.H.DULATY TARAZ UNIVERSITY, 2025. ISBN 978-601-14-0269-9. URL: </w:t>
      </w:r>
      <w:hyperlink r:id="rId19">
        <w:r>
          <w:rPr>
            <w:color w:val="0563C1"/>
            <w:u w:val="single"/>
          </w:rPr>
          <w:t xml:space="preserve">https://edu-collaboration.kz/images/document/adisteme/halik-kongres.pdf</w:t>
        </w:r>
      </w:hyperlink>
      <w:r>
        <w:t xml:space="preserve"> (қаралған күні: 17.09.2026).</w:t>
      </w:r>
    </w:p>
    <w:p>
      <w:pPr>
        <w:ind w:left="709" w:hanging="709"/>
      </w:pPr>
      <w:r>
        <w:t xml:space="preserve">7 What Experience and Survey Say About University Digitalization in Kazakhstan? / Galiya M. Berdykulova, Yevgeniya A. Daineko, Marat K. Kamysbayev, Makpal Kh. Abdinova. – CEUR Workshop Proceedings, 2022. URL: </w:t>
      </w:r>
      <w:hyperlink r:id="rId20">
        <w:r>
          <w:rPr>
            <w:color w:val="0563C1"/>
            <w:u w:val="single"/>
          </w:rPr>
          <w:t xml:space="preserve">https://ceur-ws.org/Vol-3382/Paper14.pdf</w:t>
        </w:r>
      </w:hyperlink>
      <w:r>
        <w:t xml:space="preserve"> (Accessed: 17.09.2026).</w:t>
      </w:r>
    </w:p>
    <w:p>
      <w:pPr>
        <w:ind w:left="709" w:hanging="709"/>
      </w:pPr>
      <w:r>
        <w:t xml:space="preserve">8 Круглова, Н.Р., Сартаков, И.В. НЕКОТОРЫЕ АСПЕКТЫ АНАЛИЗА ОПЫТА ЦИФРОВИЗАЦИИ ВЫСШЕГО ОБРАЗОВАНИЯ // Профессиональное образование в современном мире. – 2020. – Т. 10, № 1. – С. 3499–3507. ISSN 2224–1841. DOI: </w:t>
      </w:r>
      <w:hyperlink r:id="rId21">
        <w:r>
          <w:rPr>
            <w:color w:val="0563C1"/>
            <w:u w:val="single"/>
          </w:rPr>
          <w:t xml:space="preserve">https://doi.org/10.15372/PEMW20200113</w:t>
        </w:r>
      </w:hyperlink>
      <w:r>
        <w:t>.</w:t>
      </w:r>
      <w:r>
        <w:t xml:space="preserve"> URL: </w:t>
      </w:r>
      <w:hyperlink r:id="rId22">
        <w:r>
          <w:rPr>
            <w:color w:val="0563C1"/>
            <w:u w:val="single"/>
          </w:rPr>
          <w:t xml:space="preserve">https://www.sibran.ru/upload/iblock/467/46749e5f309de11fb469c3d94e02b9ca.pdf</w:t>
        </w:r>
      </w:hyperlink>
      <w:r>
        <w:t xml:space="preserve"> (Дата обращения: 17.09.2026).</w:t>
      </w:r>
    </w:p>
    <w:p>
      <w:pPr>
        <w:ind w:left="709" w:hanging="709"/>
      </w:pPr>
      <w:r>
        <w:t xml:space="preserve">9 Актымбаева, А.С., Байбуриев, Р.М. ОБ ОПЫТЕ ВУЗОВ В ПРИМЕНЕНИИ ИННОВАЦИОННЫХ ПОДХОДОВ, ТЕХНОЛОГИИ ПРАКТИК В КОНТЕКСТЕ ЦИФРОВИЗАЦИИ ОБРАЗОВАНИЯ. – Казахский национальный университет имени Аль-Фараби, 2025. URL: </w:t>
      </w:r>
      <w:hyperlink r:id="rId23">
        <w:r>
          <w:rPr>
            <w:color w:val="0563C1"/>
            <w:u w:val="single"/>
          </w:rPr>
          <w:t xml:space="preserve">https://kazast.edu.kz/wp-content/uploads/2025/07/2.Об-опыте-вузов-в-примен.pdf</w:t>
        </w:r>
      </w:hyperlink>
      <w:r>
        <w:t xml:space="preserve"> (Дата обращения: 17.09.2026).</w:t>
      </w:r>
    </w:p>
    <w:p>
      <w:pPr>
        <w:ind w:left="709" w:hanging="709"/>
      </w:pPr>
      <w:r>
        <w:t xml:space="preserve">10 Istrate, O. Digital Pedagogy. Definition and Conceptual Area // Journal of Digital Pedagogy. – 2022. – Vol. 1, No. 1. – pp. 3-10. ISSN 3008-2021. DOI: </w:t>
      </w:r>
      <w:hyperlink r:id="rId24">
        <w:r>
          <w:rPr>
            <w:color w:val="0563C1"/>
            <w:u w:val="single"/>
          </w:rPr>
          <w:t xml:space="preserve">https://doi.org/10.61071/JDP.0313</w:t>
        </w:r>
      </w:hyperlink>
      <w:r>
        <w:t>.</w:t>
      </w:r>
      <w:r>
        <w:t xml:space="preserve"> URL: </w:t>
      </w:r>
      <w:hyperlink r:id="rId25">
        <w:r>
          <w:rPr>
            <w:color w:val="0563C1"/>
            <w:u w:val="single"/>
          </w:rPr>
          <w:t xml:space="preserve">https://digital-pedagogy.eu/article/JDP_2022_Istrate_digital_pedagogy.pdf</w:t>
        </w:r>
      </w:hyperlink>
      <w:r>
        <w:t xml:space="preserve"> (Accessed: 17.09.2026).</w:t>
      </w:r>
    </w:p>
    <w:p>
      <w:pPr>
        <w:ind w:left="709" w:hanging="709"/>
      </w:pPr>
      <w:r>
        <w:t xml:space="preserve">11 Айтбаева, А.Б., Шайгозова, Ж.Н. ПЕДАГОГИКАНЫ ЦИФРЛЫҚ ДӘУІРДЕ ҚАЙТА ЗЕРДЕЛЕУ НЕМЕСЕ ОҚЫТУ ДИЗАЙНЫ МӘСЕЛЕЛЕРІ // Педагогикалық ғылымдар сериясы. – 2022. – Т. 71, № 2. ISSN 2520-2634. DOI: </w:t>
      </w:r>
      <w:hyperlink r:id="rId26">
        <w:r>
          <w:rPr>
            <w:color w:val="0563C1"/>
            <w:u w:val="single"/>
          </w:rPr>
          <w:t xml:space="preserve">https://doi.org/10.26577/JES.2022.v71.i2.01</w:t>
        </w:r>
      </w:hyperlink>
      <w:r>
        <w:t>.</w:t>
      </w:r>
      <w:r>
        <w:t xml:space="preserve"> URL: </w:t>
      </w:r>
      <w:hyperlink r:id="rId27">
        <w:r>
          <w:rPr>
            <w:color w:val="0563C1"/>
            <w:u w:val="single"/>
          </w:rPr>
          <w:t xml:space="preserve">https://bulletin-pedagogic-sc.kaznu.kz/index.php/1-ped/article/download/1349/696/3754</w:t>
        </w:r>
      </w:hyperlink>
      <w:r>
        <w:t xml:space="preserve"> (қаралған күні: 17.09.2026).</w:t>
      </w:r>
    </w:p>
    <w:p>
      <w:pPr>
        <w:ind w:left="709" w:hanging="709"/>
      </w:pPr>
      <w:r>
        <w:t xml:space="preserve">12 КОЛЛАБОРАТИВТІ ЦИФРЛЫҚ ОРТАДА БОЛАШАҚ ПЕДАГОГТЕРДІҢ ЦИФРЛЫ ҚҰЗЫРЕТТІЛІКТЕРІН ҚАЛЫПТАСТЫРУ / К.Д. Бузаубакова, М.С. Елубаева, А.Е. Бедельбаева, Р.Л. Калимжанова // ПЕДАГОГИКА ҒЫЛЫМДАРЫ. – 2024. – Б. 48-51. DOI: </w:t>
      </w:r>
      <w:hyperlink r:id="rId28">
        <w:r>
          <w:rPr>
            <w:color w:val="0563C1"/>
            <w:u w:val="single"/>
          </w:rPr>
          <w:t xml:space="preserve">https://doi.org/10.52269/RWEP252248</w:t>
        </w:r>
      </w:hyperlink>
      <w:r>
        <w:t>.</w:t>
      </w:r>
      <w:r>
        <w:t xml:space="preserve"> URL: </w:t>
      </w:r>
      <w:hyperlink r:id="rId29">
        <w:r>
          <w:rPr>
            <w:color w:val="0563C1"/>
            <w:u w:val="single"/>
          </w:rPr>
          <w:t xml:space="preserve">https://ojs.ksu.edu.kz/index.php/3i/article/download/1457/652/6269</w:t>
        </w:r>
      </w:hyperlink>
      <w:r>
        <w:t xml:space="preserve"> (қаралған күні: 17.09.2026).</w:t>
      </w:r>
    </w:p>
    <w:p>
      <w:pPr>
        <w:ind w:left="709" w:hanging="709"/>
      </w:pPr>
      <w:r>
        <w:t xml:space="preserve">13 Ерманқызы, Ж. ЖОҒАРЫ МЕКТЕПТЕ БІЛІМ БЕРУ ПРОЦЕСІНДЕ ЦИФРЛЫҚ ТЕХНОЛОГИЯЛАРДЫ ҚОЛДАНУДЫҢ ПЕДАГОГИКАЛЫҚ АСПЕКТІЛЕРІ // Qazaq Journal of Young Scientist. – 2024. – Т. 2, № 10-11. – Б. 31-33. ISSN 2959-1279. URL: </w:t>
      </w:r>
      <w:hyperlink r:id="rId30">
        <w:r>
          <w:rPr>
            <w:color w:val="0563C1"/>
            <w:u w:val="single"/>
          </w:rPr>
          <w:t xml:space="preserve">https://qazaqjournal.kz/article/download/80/75/139</w:t>
        </w:r>
      </w:hyperlink>
      <w:r>
        <w:t xml:space="preserve"> (қаралған күні: 17.09.2026).</w:t>
      </w:r>
    </w:p>
    <w:p>
      <w:pPr>
        <w:ind w:left="709" w:hanging="709"/>
      </w:pPr>
      <w:r>
        <w:t xml:space="preserve">14 Дмитроченко, Н.А., Яковлева, Л.А. Преподаватель и студент в эпоху цифровизации высшего образования // Известия Балтийской государственной академии рыбопромыслового флота. – 2024. – Т. 1, № 67. – С. 176-186. ISSN 2071-5331. DOI: </w:t>
      </w:r>
      <w:hyperlink r:id="rId31">
        <w:r>
          <w:rPr>
            <w:color w:val="0563C1"/>
            <w:u w:val="single"/>
          </w:rPr>
          <w:t xml:space="preserve">https://doi.org/10.46845/2071-5331-2024-1-67-176-186</w:t>
        </w:r>
      </w:hyperlink>
      <w:r>
        <w:t>.</w:t>
      </w:r>
      <w:r>
        <w:t xml:space="preserve"> URL: </w:t>
      </w:r>
      <w:hyperlink r:id="rId32">
        <w:r>
          <w:rPr>
            <w:color w:val="0563C1"/>
            <w:u w:val="single"/>
          </w:rPr>
          <w:t xml:space="preserve">https://brarf.journal.klgtu.ru/jour/article/download/35/35</w:t>
        </w:r>
      </w:hyperlink>
      <w:r>
        <w:t xml:space="preserve"> (Дата обращения: 17.09.2026).</w:t>
      </w:r>
    </w:p>
    <w:p>
      <w:pPr>
        <w:ind w:left="709" w:hanging="709"/>
      </w:pPr>
      <w:r>
        <w:t xml:space="preserve">15 Ca- Nguyen Duc, Thai- Dinh Van, Anh- Hoang Thi Minh. Digital technology application in higher education: Some international experiences and lessons for Vietnam // World Journal of Advanced Research and Reviews. – 2025. – Vol. 25, No. 3. – pp. 934-948. ISSN 2581-9615. DOI: </w:t>
      </w:r>
      <w:hyperlink r:id="rId33">
        <w:r>
          <w:rPr>
            <w:color w:val="0563C1"/>
            <w:u w:val="single"/>
          </w:rPr>
          <w:t xml:space="preserve">https://doi.org/10.30574/wjarr.2025.25.3.0706</w:t>
        </w:r>
      </w:hyperlink>
      <w:r>
        <w:t>.</w:t>
      </w:r>
      <w:r>
        <w:t xml:space="preserve"> URL: </w:t>
      </w:r>
      <w:hyperlink r:id="rId34">
        <w:r>
          <w:rPr>
            <w:color w:val="0563C1"/>
            <w:u w:val="single"/>
          </w:rPr>
          <w:t xml:space="preserve">https://wjarr.com/sites/default/files/fulltext_pdf/WJARR-2025-0706.pdf</w:t>
        </w:r>
      </w:hyperlink>
      <w:r>
        <w:t xml:space="preserve"> (Accessed: 17.09.2026).</w:t>
      </w:r>
    </w:p>
    <w:p>
      <w:pPr>
        <w:ind w:left="709" w:hanging="709"/>
      </w:pPr>
      <w:r>
        <w:t xml:space="preserve">16 Чернявский, А.И. ЦИФРОВИЗАЦИЯ ВЫСШЕГО ОБРАЗОВАНИЯ [Электронный ресурс] // Материалы Республиканской научно-теоретической конференции «Сейфуллинские чтения – 14: Молодежь, наука, инновации: цифровизация - новый этап развития». – 2018. – Т. І, № 2. – С. 46-49. URL: </w:t>
      </w:r>
      <w:hyperlink r:id="rId35">
        <w:r>
          <w:rPr>
            <w:color w:val="0563C1"/>
            <w:u w:val="single"/>
          </w:rPr>
          <w:t xml:space="preserve">https://kazatu.edu.kz/assets/i/science/sf14_shmash_120.pdf</w:t>
        </w:r>
      </w:hyperlink>
      <w:r>
        <w:t xml:space="preserve"> (Дата обращения: 17.09.2026).</w:t>
      </w:r>
    </w:p>
    <w:p>
      <w:pPr>
        <w:ind w:left="709" w:hanging="709"/>
      </w:pPr>
      <w:r>
        <w:t xml:space="preserve">17 Identifying risks in the digital transformation of higher education / Nurlan Baigabylov, Kuralay Mukhambetova, Kanagat Baigusheva, Olga Shebalina, Medet Kudabekov, Altynbek Akpanov // Journal of Turkish Science Education. – 2025. – Vol. 22, No. 1. – pp. 147-172. ISSN 1304-6020. DOI: </w:t>
      </w:r>
      <w:hyperlink r:id="rId36">
        <w:r>
          <w:rPr>
            <w:color w:val="0563C1"/>
            <w:u w:val="single"/>
          </w:rPr>
          <w:t xml:space="preserve">https://doi.org/10.36681/tused.2025.009</w:t>
        </w:r>
      </w:hyperlink>
      <w:r>
        <w:t>.</w:t>
      </w:r>
      <w:r>
        <w:t xml:space="preserve"> URL: </w:t>
      </w:r>
      <w:hyperlink r:id="rId37">
        <w:r>
          <w:rPr>
            <w:color w:val="0563C1"/>
            <w:u w:val="single"/>
          </w:rPr>
          <w:t xml:space="preserve">https://www.tused.org/index.php/tused/article/download/3615/1177/13629</w:t>
        </w:r>
      </w:hyperlink>
      <w:r>
        <w:t xml:space="preserve"> (Accessed: 17.09.2026).</w:t>
      </w:r>
    </w:p>
    <w:p>
      <w:pPr>
        <w:ind w:left="709" w:hanging="709"/>
      </w:pPr>
      <w:r>
        <w:t xml:space="preserve">18 Hilton, J.T. A Case Study of the Application of SAMR and TPACK for Reflection on Technology Integration into Two Social Studies Classrooms // The Social Studies. – 2016. – Vol. 107, No. 2. – pp. 68-73. ISSN 0037-7996. DOI: </w:t>
      </w:r>
      <w:hyperlink r:id="rId38">
        <w:r>
          <w:rPr>
            <w:color w:val="0563C1"/>
            <w:u w:val="single"/>
          </w:rPr>
          <w:t xml:space="preserve">https://doi.org/10.1080/00377996.2015.1124376</w:t>
        </w:r>
      </w:hyperlink>
      <w:r>
        <w:t>.</w:t>
      </w:r>
      <w:r>
        <w:t xml:space="preserve"> URL: </w:t>
      </w:r>
      <w:hyperlink r:id="rId39">
        <w:r>
          <w:rPr>
            <w:color w:val="0563C1"/>
            <w:u w:val="single"/>
          </w:rPr>
          <w:t xml:space="preserve">http://com.appolearning.files.s3.amazonaws.com/production/uploads/uploaded_file/4f12b8b3-40dc-4a2e-9463-671441cce91f/Case_Study_of_SAMR_and_TPACK.pdf</w:t>
        </w:r>
      </w:hyperlink>
      <w:r>
        <w:t xml:space="preserve"> (Accessed: 17.09.2026).</w:t>
      </w:r>
    </w:p>
    <w:p>
      <w:pPr>
        <w:ind w:left="709" w:hanging="709"/>
      </w:pPr>
      <w:r>
        <w:t xml:space="preserve">19 Nair, R.S., Chuan, T.C. Integrating Technology that Uses Modified SAMR Model as a Pedagogical Framework in Evaluating Learning Performance of Undergraduates // The Educational Review, USA. – 2021. – Vol. 5, No. 10. – pp. 373-384. ISSN 2575-7938. DOI: </w:t>
      </w:r>
      <w:hyperlink r:id="rId40">
        <w:r>
          <w:rPr>
            <w:color w:val="0563C1"/>
            <w:u w:val="single"/>
          </w:rPr>
          <w:t xml:space="preserve">https://doi.org/10.26855/er.2021.10.001</w:t>
        </w:r>
      </w:hyperlink>
      <w:r>
        <w:t>.</w:t>
      </w:r>
      <w:r>
        <w:t xml:space="preserve"> URL: </w:t>
      </w:r>
      <w:hyperlink r:id="rId41">
        <w:r>
          <w:rPr>
            <w:color w:val="0563C1"/>
            <w:u w:val="single"/>
          </w:rPr>
          <w:t xml:space="preserve">https://wap.hillpublisher.com/ArticleDetails.aspx?type=PDF&amp;cid=743</w:t>
        </w:r>
      </w:hyperlink>
      <w:r>
        <w:t xml:space="preserve"> (Accessed: 17.09.2026).</w:t>
      </w:r>
    </w:p>
    <w:p>
      <w:pPr>
        <w:ind w:left="709" w:hanging="709"/>
      </w:pPr>
      <w:r>
        <w:t xml:space="preserve">20 ЦИФРЛАНДЫРУ ЖАҒДАЙЫНДА СТУДЕНТТЕРДІҢ АРТ - ТЕХНОЛОГИЯЛЫҚ ҚҰЗЫРЕТТІЛІГІН ДАМЫТУ / С.А. Жолдасбекова, Д.П. Мадиева, М.С. Каратаева, Ж.Б. Тунгишбаева // Абылай хан атындағы ҚазХҚжӘТУ ХАБАРШЫСЫ. – 2026. – Т. 1, № 80. – Б. 280-301. DOI: </w:t>
      </w:r>
      <w:hyperlink r:id="rId42">
        <w:r>
          <w:rPr>
            <w:color w:val="0563C1"/>
            <w:u w:val="single"/>
          </w:rPr>
          <w:t xml:space="preserve">https://doi.org/10.48371/PEDS.2026.80.1.017</w:t>
        </w:r>
      </w:hyperlink>
      <w:r>
        <w:t>.</w:t>
      </w:r>
      <w:r>
        <w:t xml:space="preserve"> URL: </w:t>
      </w:r>
      <w:hyperlink r:id="rId43">
        <w:r>
          <w:rPr>
            <w:color w:val="0563C1"/>
            <w:u w:val="single"/>
          </w:rPr>
          <w:t xml:space="preserve">https://bulletin-pedagogical.ablaikhan.kz/index.php/j1/article/download/1611/796</w:t>
        </w:r>
      </w:hyperlink>
      <w:r>
        <w:t xml:space="preserve"> (қаралған күні: 17.09.2026).</w:t>
      </w:r>
    </w:p>
    <w:p>
      <w:pPr>
        <w:ind w:left="709" w:hanging="709"/>
      </w:pPr>
      <w:r>
        <w:t xml:space="preserve">21 Министерство науки и высшего образования Российской Федерации. Стратегия цифровой трансформации отрасли науки и высшего образования. – Министерство науки и высшего образования Российской Федерации, 2022. URL: </w:t>
      </w:r>
      <w:hyperlink r:id="rId44">
        <w:r>
          <w:rPr>
            <w:color w:val="0563C1"/>
            <w:u w:val="single"/>
          </w:rPr>
          <w:t xml:space="preserve">https://spa.msu.ru/wp-content/uploads/12.pdf</w:t>
        </w:r>
      </w:hyperlink>
      <w:r>
        <w:t xml:space="preserve"> (Дата обращения: 17.09.2026).</w:t>
      </w:r>
    </w:p>
    <w:p>
      <w:pPr>
        <w:ind w:left="709" w:hanging="709"/>
      </w:pPr>
      <w:r>
        <w:t xml:space="preserve">22 ЦИФРОВЫЕ ТЕХНОЛОГИИ В ОБРАЗОВАНИИ. ТЕНДЕНЦИИ, ПРОБЛЕМЫ, ПЕРСПЕКТИВЫ [Электронный ресурс] / Коллектив авторов ; под ред. научного совета ГНИИ "Нацразвитие". – ГНИИ "Нацразвитие", 2023. – 80 с. ISBN 978-5-00213-110-5. DOI: </w:t>
      </w:r>
      <w:hyperlink r:id="rId45">
        <w:r>
          <w:rPr>
            <w:color w:val="0563C1"/>
            <w:u w:val="single"/>
          </w:rPr>
          <w:t xml:space="preserve">https://doi.org/10.37539/M230505.2023.21.67.001</w:t>
        </w:r>
      </w:hyperlink>
      <w:r>
        <w:t>.</w:t>
      </w:r>
      <w:r>
        <w:t xml:space="preserve"> URL: </w:t>
      </w:r>
      <w:hyperlink r:id="rId46">
        <w:r>
          <w:rPr>
            <w:color w:val="0563C1"/>
            <w:u w:val="single"/>
          </w:rPr>
          <w:t xml:space="preserve">http://natsrazvitie.ru/files/Monografiya_M8._Tsifra._Tendentsii_problemy_perspektivy.pdf</w:t>
        </w:r>
      </w:hyperlink>
      <w:r>
        <w:t xml:space="preserve"> (Дата обращения: 17.09.2026).</w:t>
      </w:r>
    </w:p>
    <w:p>
      <w:pPr>
        <w:ind w:left="709" w:hanging="709"/>
      </w:pPr>
      <w:r>
        <w:t xml:space="preserve">23 Antwi-Boampong, A. Blended Learning Adoption in Higher Education: Presenting the Lived Experiences of Students in a Public University from a Developing Country // TOJET: The Turkish Online Journal of Educational Technology. – 2021. – Vol. 20, No. 2. – pp. 14-17. URL: </w:t>
      </w:r>
      <w:hyperlink r:id="rId47">
        <w:r>
          <w:rPr>
            <w:color w:val="0563C1"/>
            <w:u w:val="single"/>
          </w:rPr>
          <w:t xml:space="preserve">https://www.tojet.net/articles/v20i2/2022.pdf</w:t>
        </w:r>
      </w:hyperlink>
      <w:r>
        <w:t xml:space="preserve"> (Accessed: 17.09.2026).</w:t>
      </w:r>
    </w:p>
    <w:p>
      <w:pPr>
        <w:ind w:left="709" w:hanging="709"/>
      </w:pPr>
      <w:r>
        <w:t xml:space="preserve">24 Similarities and Differences in the Digital Transformation of Higher Education Perspectives from Africa, the Arab region, Asia, Europe, and the Americas / Association of African Universities, Professor Olusola Bandele Oyewole, Professor Frederick Ato Armah, Association of Indian Universities, Dr(Mrs) Pankaj Mittal, Dr Kuldeep Dagar, Association of Arab Universities, Amr Ezzat Salama, Moham Ziad Amara, China Association of Higher Education, Zhang Daliang, Li Nan, Hao Qingjie, Gao Xiaojie, Yang Yuhui, El Espacio Latinoamericano y Caribeño de Educación Superior, Professor Dr. Jorge Membrillo-Hernandez, Professor Elizabeth Bernal Gamboa, Professor Sandra Patricia Figueroa Chavez, EUA, Michael Gaebel, Thomas Jorgensen, Alison Morrisroe, American Council of Education, Hironao Okahana, Erin Baldwin, Alex Zhao. – European University Association. URL: </w:t>
      </w:r>
      <w:hyperlink r:id="rId48">
        <w:r>
          <w:rPr>
            <w:color w:val="0563C1"/>
            <w:u w:val="single"/>
          </w:rPr>
          <w:t xml:space="preserve">https://www.aunsec.org/application/files/2117/6793/5105/3rd_GUAF_Report.pdf</w:t>
        </w:r>
      </w:hyperlink>
      <w:r>
        <w:t xml:space="preserve"> (Accessed: 17.09.2026).</w:t>
      </w:r>
    </w:p>
    <w:p>
      <w:pPr>
        <w:ind w:left="709" w:hanging="709"/>
      </w:pPr>
      <w:r>
        <w:t xml:space="preserve">25 Bidari, S., Hafeez, M. Evolution and Impact of Blended Learning in Higher Education: A Brief Systematic Review From 2010 to 2022 // Journal of Education and Research. – 2023. – Vol. 13, No. 2. – pp. 24-54. ISSN 2091-0118. DOI: </w:t>
      </w:r>
      <w:hyperlink r:id="rId49">
        <w:r>
          <w:rPr>
            <w:color w:val="0563C1"/>
            <w:u w:val="single"/>
          </w:rPr>
          <w:t xml:space="preserve">https://doi.org/10.51474/jer.v13i2.713</w:t>
        </w:r>
      </w:hyperlink>
      <w:r>
        <w:t>.</w:t>
      </w:r>
      <w:r>
        <w:t xml:space="preserve"> URL: </w:t>
      </w:r>
      <w:hyperlink r:id="rId50">
        <w:r>
          <w:rPr>
            <w:color w:val="0563C1"/>
            <w:u w:val="single"/>
          </w:rPr>
          <w:t xml:space="preserve">https://jer.kusoed.edu.np/download/evolution-and-impact-of-blended-learning-in-higher-education-a-brief-systematic-review-from-2010-to-15418.pdf</w:t>
        </w:r>
      </w:hyperlink>
      <w:r>
        <w:t xml:space="preserve"> (Accessed: 17.09.2026).</w:t>
      </w:r>
    </w:p>
    <w:p>
      <w:pPr>
        <w:ind w:left="709" w:hanging="709"/>
      </w:pPr>
      <w:r>
        <w:t xml:space="preserve">26 Ghomi, M., Redecker, C. Digital Competence of Educators (DigCompEdu): Development and Evaluation of a Self-assessment Instrument for Teachers' Digital Competence // Proceedings of the 11th International Conference on Computer Supported Education. – 2019. – pp. 541-548. DOI: </w:t>
      </w:r>
      <w:hyperlink r:id="rId51">
        <w:r>
          <w:rPr>
            <w:color w:val="0563C1"/>
            <w:u w:val="single"/>
          </w:rPr>
          <w:t xml:space="preserve">https://doi.org/10.5220/0007679005410548</w:t>
        </w:r>
      </w:hyperlink>
      <w:r>
        <w:t>.</w:t>
      </w:r>
      <w:r>
        <w:t xml:space="preserve"> URL: </w:t>
      </w:r>
      <w:hyperlink r:id="rId52">
        <w:r>
          <w:rPr>
            <w:color w:val="0563C1"/>
            <w:u w:val="single"/>
          </w:rPr>
          <w:t xml:space="preserve">https://www.scitepress.org/Papers/2019/76790/76790.pdf</w:t>
        </w:r>
      </w:hyperlink>
      <w:r>
        <w:t xml:space="preserve"> (Accessed: 17.09.2026).</w:t>
      </w:r>
    </w:p>
    <w:p>
      <w:pPr>
        <w:ind w:left="709" w:hanging="709"/>
      </w:pPr>
      <w:r>
        <w:t xml:space="preserve">27 All Things Merge into One, and a River Runs Through It: Exploring the Dimensions of Blended Learning by Developing a Case Study Template for Blended Activities / Damian Gordon, Paul Doyle, Anna Becevel, Tina Baloh // International Journal for e-Learning Security. – 2022. – Vol. 11, No. 1. – pp. 648-656. ISSN 2046-4568. DOI: </w:t>
      </w:r>
      <w:hyperlink r:id="rId53">
        <w:r>
          <w:rPr>
            <w:color w:val="0563C1"/>
            <w:u w:val="single"/>
          </w:rPr>
          <w:t xml:space="preserve">https://doi.org/10.20533/ijels.2046.4568.2022.0081</w:t>
        </w:r>
      </w:hyperlink>
      <w:r>
        <w:t>.</w:t>
      </w:r>
      <w:r>
        <w:t xml:space="preserve"> URL: </w:t>
      </w:r>
      <w:hyperlink r:id="rId54">
        <w:r>
          <w:rPr>
            <w:color w:val="0563C1"/>
            <w:u w:val="single"/>
          </w:rPr>
          <w:t xml:space="preserve">https://infonomics-society.org/wp-content/uploads/All-Things-Merge-into-One-and-a-River-Runs-Through-It.pdf</w:t>
        </w:r>
      </w:hyperlink>
      <w:r>
        <w:t xml:space="preserve"> (Accessed: 17.09.2026).</w:t>
      </w:r>
    </w:p>
    <w:p>
      <w:pPr>
        <w:ind w:left="709" w:hanging="709"/>
      </w:pPr>
      <w:r>
        <w:t xml:space="preserve">28 Redecker, C. European Framework for the Digital Competence of Educators: DigCompEdu / edited by Y. Punie. – Publications Office of the European Union, 2017. ISBN 978-92-79-73494-6. ISSN 1831-9424. DOI: </w:t>
      </w:r>
      <w:hyperlink r:id="rId55">
        <w:r>
          <w:rPr>
            <w:color w:val="0563C1"/>
            <w:u w:val="single"/>
          </w:rPr>
          <w:t xml:space="preserve">https://doi.org/10.2760/159770</w:t>
        </w:r>
      </w:hyperlink>
      <w:r>
        <w:t>.</w:t>
      </w:r>
      <w:r>
        <w:t xml:space="preserve"> URL: </w:t>
      </w:r>
      <w:hyperlink r:id="rId56">
        <w:r>
          <w:rPr>
            <w:color w:val="0563C1"/>
            <w:u w:val="single"/>
          </w:rPr>
          <w:t xml:space="preserve">https://publications.jrc.ec.europa.eu/repository/bitstream/JRC107466/pdf_digcomedu_a4_final.pdf</w:t>
        </w:r>
      </w:hyperlink>
      <w:r>
        <w:t xml:space="preserve"> (Accessed: 17.09.2026).</w:t>
      </w:r>
    </w:p>
    <w:p>
      <w:pPr>
        <w:ind w:left="709" w:hanging="709"/>
      </w:pPr>
      <w:r>
        <w:t xml:space="preserve">29 Technological Pedagogical Content Knowledge (TPACK): The Development and Validation of an Assessment Instrument for Preservice Teachers / Denise A. Schmidt, Evrim Baran, Ann D. Thompson, Punya Mishra, Matthew J. Koehler, Tae S. Shin // Journal of Research on Technology in Education. – 2009. – Vol. 42, No. 2. – pp. 123–149. URL: </w:t>
      </w:r>
      <w:hyperlink r:id="rId57">
        <w:r>
          <w:rPr>
            <w:color w:val="0563C1"/>
            <w:u w:val="single"/>
          </w:rPr>
          <w:t xml:space="preserve">https://files.eric.ed.gov/fulltext/EJ868626.pdf</w:t>
        </w:r>
      </w:hyperlink>
      <w:r>
        <w:t xml:space="preserve"> (Accessed: 17.09.2026).</w:t>
      </w:r>
    </w:p>
    <w:p>
      <w:pPr>
        <w:ind w:left="709" w:hanging="709"/>
      </w:pPr>
      <w:r>
        <w:t xml:space="preserve">30 Wardani, T.A.A.K., Santosa, I. Digital Competence of Educators (DigCompEdu): Level of Digital Competence of English Pre-service Teacher in Indonesia // Jurnal Ilmu Sosial dan Pendidikan (JISIP). – 2022. – Vol. 6, No. 4. – p. 2360. ISSN 2656-6753. DOI: </w:t>
      </w:r>
      <w:hyperlink r:id="rId58">
        <w:r>
          <w:rPr>
            <w:color w:val="0563C1"/>
            <w:u w:val="single"/>
          </w:rPr>
          <w:t xml:space="preserve">https://doi.org/10.36312/jisip.v6i4.3716</w:t>
        </w:r>
      </w:hyperlink>
      <w:r>
        <w:t>.</w:t>
      </w:r>
      <w:r>
        <w:t xml:space="preserve"> URL: </w:t>
      </w:r>
      <w:hyperlink r:id="rId59">
        <w:r>
          <w:rPr>
            <w:color w:val="0563C1"/>
            <w:u w:val="single"/>
          </w:rPr>
          <w:t xml:space="preserve">https://ejournal.mandalanursa.org/index.php/JISIP/article/download/3716/2982</w:t>
        </w:r>
      </w:hyperlink>
      <w:r>
        <w:t xml:space="preserve"> (Accessed: 17.09.2026).</w:t>
      </w:r>
    </w:p>
    <w:p>
      <w:pPr>
        <w:ind w:left="709" w:hanging="709"/>
      </w:pPr>
      <w:r>
        <w:t xml:space="preserve">31 БУЗАУБАКОВА, К.Д. Қазақстан Республикасы жоғары оқу орындарының коллаборативті цифрлы ортасын құру: М.Х.ДУЛАТИ АТЫНДАҒЫ ТАРАЗ УНИВЕРСИТЕТІНІҢ ИННОВАЦИЯЛЫҚ ІС-ТӘЖІРИБЕСІ [Электрондық ресурс]. – М.Х.ДУЛАТИ АТЫНДАҒЫ ТАРАЗ УНИВЕРСИТЕТІ, n.d. URL: </w:t>
      </w:r>
      <w:hyperlink r:id="rId60">
        <w:r>
          <w:rPr>
            <w:color w:val="0563C1"/>
            <w:u w:val="single"/>
          </w:rPr>
          <w:t xml:space="preserve">https://edu-collaboration.kz/images/document/inno/innov-dulaty.pdf</w:t>
        </w:r>
      </w:hyperlink>
      <w:r>
        <w:t xml:space="preserve"> (қаралған күні: 17.09.2026).</w:t>
      </w:r>
    </w:p>
    <w:p>
      <w:pPr>
        <w:ind w:left="709" w:hanging="709"/>
      </w:pPr>
      <w:r>
        <w:t xml:space="preserve">32 To the Question of the Formation of Readiness to Professional Communication in a Foreign Language of Future Engineers in a Digital Educational Environment [Electronic resource] // Lecture Notes in Economics, Management and Social Sciences. – 2019. ISSN 2617-1031. DOI: </w:t>
      </w:r>
      <w:hyperlink r:id="rId61">
        <w:r>
          <w:rPr>
            <w:color w:val="0563C1"/>
            <w:u w:val="single"/>
          </w:rPr>
          <w:t xml:space="preserve">https://doi.org/10.23977/ceed.2019.015</w:t>
        </w:r>
      </w:hyperlink>
      <w:r>
        <w:t>.</w:t>
      </w:r>
      <w:r>
        <w:t xml:space="preserve"> URL: </w:t>
      </w:r>
      <w:hyperlink r:id="rId62">
        <w:r>
          <w:rPr>
            <w:color w:val="0563C1"/>
            <w:u w:val="single"/>
          </w:rPr>
          <w:t xml:space="preserve">https://www.atlantis-press.com/article/125940184.pdf</w:t>
        </w:r>
      </w:hyperlink>
      <w:r>
        <w:t xml:space="preserve"> (Accessed: 17.09.2026).</w:t>
      </w:r>
    </w:p>
    <w:p>
      <w:pPr>
        <w:ind w:left="709" w:hanging="709"/>
      </w:pPr>
      <w:r>
        <w:t xml:space="preserve">33 CLOUD [Электронный ресурс] / под ред. Х. Вэй, Н. Телешалиева. – Международный центр инноваций в сфере высшего образования под эгидой ЮНЕСКО, 2021. URL: </w:t>
      </w:r>
      <w:hyperlink r:id="rId63">
        <w:r>
          <w:rPr>
            <w:color w:val="0563C1"/>
            <w:u w:val="single"/>
          </w:rPr>
          <w:t xml:space="preserve">https://ru.ichei.org/Uploads/Download/2022-11-22/637c8bb9a3afd.pdf</w:t>
        </w:r>
      </w:hyperlink>
      <w:r>
        <w:t xml:space="preserve"> (Дата обращения: 17.09.2026).</w:t>
      </w:r>
    </w:p>
    <w:p>
      <w:pPr>
        <w:ind w:left="709" w:hanging="709"/>
      </w:pPr>
      <w:r>
        <w:t xml:space="preserve">34 DIGITAL TRANSFORMATION OF HUMAN CAPITAL IN THE EU ACCORDING TO THE DESI INDEX [Electronic resource] // Issues In Information Systems. – 2022. ISSN 1529-7314. DOI: </w:t>
      </w:r>
      <w:hyperlink r:id="rId64">
        <w:r>
          <w:rPr>
            <w:color w:val="0563C1"/>
            <w:u w:val="single"/>
          </w:rPr>
          <w:t xml:space="preserve">https://doi.org/10.48009/4_iis_2022_125</w:t>
        </w:r>
      </w:hyperlink>
      <w:r>
        <w:t>.</w:t>
      </w:r>
      <w:r>
        <w:t xml:space="preserve"> URL: </w:t>
      </w:r>
      <w:hyperlink r:id="rId65">
        <w:r>
          <w:rPr>
            <w:color w:val="0563C1"/>
            <w:u w:val="single"/>
          </w:rPr>
          <w:t xml:space="preserve">https://iacis.org/iis/2022/4_iis_2022_293-311.pdf</w:t>
        </w:r>
      </w:hyperlink>
      <w:r>
        <w:t xml:space="preserve"> (Accessed: 17.09.2026).</w:t>
      </w:r>
    </w:p>
    <w:p>
      <w:pPr>
        <w:ind w:left="709" w:hanging="709"/>
      </w:pPr>
      <w:r>
        <w:t xml:space="preserve">35 International Best Practices of Digital Education [Electronic resource]. – n.d. URL: </w:t>
      </w:r>
      <w:hyperlink r:id="rId66">
        <w:r>
          <w:rPr>
            <w:color w:val="0563C1"/>
            <w:u w:val="single"/>
          </w:rPr>
          <w:t xml:space="preserve">https://wdec.smartedu.cn/doc/International</w:t>
        </w:r>
      </w:hyperlink>
      <w:r>
        <w:t xml:space="preserve"> Best Practices of Digital Education.pdf (Accessed: 17.09.2026).</w:t>
      </w:r>
    </w:p>
    <w:p>
      <w:pPr>
        <w:ind w:left="709" w:hanging="709"/>
      </w:pPr>
      <w:r>
        <w:t xml:space="preserve">36 OECD Digital Education Outlook 2026 [Electronic resource] // OECD Digital Education Outlook. – 2026. ISBN 9789264741287. ISSN 2788-8568. DOI: </w:t>
      </w:r>
      <w:hyperlink r:id="rId67">
        <w:r>
          <w:rPr>
            <w:color w:val="0563C1"/>
            <w:u w:val="single"/>
          </w:rPr>
          <w:t xml:space="preserve">https://doi.org/10.1787/062a7394-en</w:t>
        </w:r>
      </w:hyperlink>
      <w:r>
        <w:t>.</w:t>
      </w:r>
      <w:r>
        <w:t xml:space="preserve"> URL: </w:t>
      </w:r>
      <w:hyperlink r:id="rId68">
        <w:r>
          <w:rPr>
            <w:color w:val="0563C1"/>
            <w:u w:val="single"/>
          </w:rPr>
          <w:t xml:space="preserve">https://www.oecd.org/content/dam/oecd/en/publications/reports/2026/01/oecd-digital-education-outlook-2026_940e0dd8/062a7394-en.pdf</w:t>
        </w:r>
      </w:hyperlink>
      <w:r>
        <w:t xml:space="preserve"> (Accessed: 17.09.2026).</w:t>
      </w:r>
    </w:p>
    <w:sectPr w:rsidR="00FC693F" w:rsidRPr="0006063C" w:rsidSect="00034616">
      <w:footerReference w:type="default" r:id="rId69"/>
      <w:pgSz w:w="11906" w:h="16838"/>
      <w:pgMar w:top="1134" w:right="567" w:bottom="1417"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Times New Roman" w:hAnsi="Times New Roman"/>
        <w:sz w:val="20"/>
      </w:rPr>
      <w:fldChar w:fldCharType="begin"/>
    </w:r>
    <w:r>
      <w:rPr>
        <w:rFonts w:ascii="Times New Roman" w:hAnsi="Times New Roman"/>
        <w:sz w:val="20"/>
      </w:rPr>
      <w:instrText xml:space="preserve"> PAGE </w:instrText>
    </w:r>
    <w:r>
      <w:rPr>
        <w:rFonts w:ascii="Times New Roman" w:hAnsi="Times New Roman"/>
        <w:sz w:val="20"/>
      </w:rPr>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after="200"/>
      <w:ind w:firstLine="709"/>
      <w:jc w:val="both"/>
    </w:pPr>
    <w:rPr>
      <w:rFonts w:ascii="Times New Roman" w:hAnsi="Times New Roman" w:eastAsia="Times New Roman" w:cs="Times New Roman"/>
      <w:sz w:val="28"/>
      <w:lang w:val="kk-KZ" w:bidi="kk-KZ"/>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20"/>
      <w:ind w:firstLine="0"/>
      <w:outlineLvl w:val="0"/>
    </w:pPr>
    <w:rPr>
      <w:rFonts w:ascii="Times New Roman" w:hAnsi="Times New Roman" w:eastAsia="Times New Roman" w:cs="Times New Roman"/>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80"/>
      <w:ind w:firstLine="0"/>
      <w:outlineLvl w:val="1"/>
    </w:pPr>
    <w:rPr>
      <w:rFonts w:ascii="Times New Roman" w:hAnsi="Times New Roman" w:eastAsia="Times New Roman" w:cs="Times New Roman"/>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160" w:after="80"/>
      <w:ind w:firstLine="0"/>
      <w:outlineLvl w:val="2"/>
    </w:pPr>
    <w:rPr>
      <w:rFonts w:ascii="Times New Roman" w:hAnsi="Times New Roman" w:eastAsia="Times New Roman" w:cs="Times New Roman"/>
      <w:b/>
      <w:bCs/>
      <w:color w:val="000000"/>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TOC1">
    <w:name w:val="TOC 1"/>
    <w:pPr>
      <w:tabs>
        <w:tab w:pos="9638" w:val="right" w:leader="dot"/>
      </w:tabs>
      <w:spacing w:after="80" w:before="40"/>
      <w:ind w:left="0" w:firstLine="0"/>
    </w:pPr>
    <w:rPr>
      <w:rFonts w:ascii="Times New Roman" w:hAnsi="Times New Roman"/>
      <w:b w:val="0"/>
      <w:sz w:val="28"/>
    </w:rPr>
  </w:style>
  <w:style w:type="paragraph" w:customStyle="1" w:styleId="TOC2">
    <w:name w:val="TOC 2"/>
    <w:pPr>
      <w:tabs>
        <w:tab w:pos="9071" w:val="right" w:leader="dot"/>
      </w:tabs>
      <w:spacing w:after="80" w:before="0"/>
      <w:ind w:left="567" w:firstLine="0"/>
    </w:pPr>
    <w:rPr>
      <w:rFonts w:ascii="Times New Roman" w:hAnsi="Times New Roman"/>
      <w:b w:val="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hyperlink" Target="http://ivanovo.ac.ru/upload/medialibrary/726/72677b6e1ba89ab92590a58ba1a2446e.pdf" TargetMode="External"/><Relationship Id="rId13" Type="http://schemas.openxmlformats.org/officeDocument/2006/relationships/hyperlink" Target="https://doi.org/10.31489/2022Ped3/53-62" TargetMode="External"/><Relationship Id="rId14" Type="http://schemas.openxmlformats.org/officeDocument/2006/relationships/hyperlink" Target="https://pedagogy-vestnik.buketov.edu.kz/pedagogy-vestnik/article/download/259/237/474" TargetMode="External"/><Relationship Id="rId15" Type="http://schemas.openxmlformats.org/officeDocument/2006/relationships/hyperlink" Target="http://library.csu.ru/media/files/docs/publications/cyber.pdf" TargetMode="External"/><Relationship Id="rId16" Type="http://schemas.openxmlformats.org/officeDocument/2006/relationships/hyperlink" Target="https://murindkol.ru/img/all/35_koncepciya_cd_xi_2019_verstka.pdf" TargetMode="External"/><Relationship Id="rId17" Type="http://schemas.openxmlformats.org/officeDocument/2006/relationships/hyperlink" Target="https://doi.org/10.70239/arsu.2025.t80.n2.21" TargetMode="External"/><Relationship Id="rId18" Type="http://schemas.openxmlformats.org/officeDocument/2006/relationships/hyperlink" Target="https://vestnik.arsu.kz/index.php/hab/article/download/554/535/2927" TargetMode="External"/><Relationship Id="rId19" Type="http://schemas.openxmlformats.org/officeDocument/2006/relationships/hyperlink" Target="https://edu-collaboration.kz/images/document/adisteme/halik-kongres.pdf" TargetMode="External"/><Relationship Id="rId20" Type="http://schemas.openxmlformats.org/officeDocument/2006/relationships/hyperlink" Target="https://ceur-ws.org/Vol-3382/Paper14.pdf" TargetMode="External"/><Relationship Id="rId21" Type="http://schemas.openxmlformats.org/officeDocument/2006/relationships/hyperlink" Target="https://doi.org/10.15372/PEMW20200113" TargetMode="External"/><Relationship Id="rId22" Type="http://schemas.openxmlformats.org/officeDocument/2006/relationships/hyperlink" Target="https://www.sibran.ru/upload/iblock/467/46749e5f309de11fb469c3d94e02b9ca.pdf" TargetMode="External"/><Relationship Id="rId23" Type="http://schemas.openxmlformats.org/officeDocument/2006/relationships/hyperlink" Target="https://kazast.edu.kz/wp-content/uploads/2025/07/2.&#1054;&#1073;-&#1086;&#1087;&#1099;&#1090;&#1077;-&#1074;&#1091;&#1079;&#1086;&#1074;-&#1074;-&#1087;&#1088;&#1080;&#1084;&#1077;&#1085;.pdf" TargetMode="External"/><Relationship Id="rId24" Type="http://schemas.openxmlformats.org/officeDocument/2006/relationships/hyperlink" Target="https://doi.org/10.61071/JDP.0313" TargetMode="External"/><Relationship Id="rId25" Type="http://schemas.openxmlformats.org/officeDocument/2006/relationships/hyperlink" Target="https://digital-pedagogy.eu/article/JDP_2022_Istrate_digital_pedagogy.pdf" TargetMode="External"/><Relationship Id="rId26" Type="http://schemas.openxmlformats.org/officeDocument/2006/relationships/hyperlink" Target="https://doi.org/10.26577/JES.2022.v71.i2.01" TargetMode="External"/><Relationship Id="rId27" Type="http://schemas.openxmlformats.org/officeDocument/2006/relationships/hyperlink" Target="https://bulletin-pedagogic-sc.kaznu.kz/index.php/1-ped/article/download/1349/696/3754" TargetMode="External"/><Relationship Id="rId28" Type="http://schemas.openxmlformats.org/officeDocument/2006/relationships/hyperlink" Target="https://doi.org/10.52269/RWEP252248" TargetMode="External"/><Relationship Id="rId29" Type="http://schemas.openxmlformats.org/officeDocument/2006/relationships/hyperlink" Target="https://ojs.ksu.edu.kz/index.php/3i/article/download/1457/652/6269" TargetMode="External"/><Relationship Id="rId30" Type="http://schemas.openxmlformats.org/officeDocument/2006/relationships/hyperlink" Target="https://qazaqjournal.kz/article/download/80/75/139" TargetMode="External"/><Relationship Id="rId31" Type="http://schemas.openxmlformats.org/officeDocument/2006/relationships/hyperlink" Target="https://doi.org/10.46845/2071-5331-2024-1-67-176-186" TargetMode="External"/><Relationship Id="rId32" Type="http://schemas.openxmlformats.org/officeDocument/2006/relationships/hyperlink" Target="https://brarf.journal.klgtu.ru/jour/article/download/35/35" TargetMode="External"/><Relationship Id="rId33" Type="http://schemas.openxmlformats.org/officeDocument/2006/relationships/hyperlink" Target="https://doi.org/10.30574/wjarr.2025.25.3.0706" TargetMode="External"/><Relationship Id="rId34" Type="http://schemas.openxmlformats.org/officeDocument/2006/relationships/hyperlink" Target="https://wjarr.com/sites/default/files/fulltext_pdf/WJARR-2025-0706.pdf" TargetMode="External"/><Relationship Id="rId35" Type="http://schemas.openxmlformats.org/officeDocument/2006/relationships/hyperlink" Target="https://kazatu.edu.kz/assets/i/science/sf14_shmash_120.pdf" TargetMode="External"/><Relationship Id="rId36" Type="http://schemas.openxmlformats.org/officeDocument/2006/relationships/hyperlink" Target="https://doi.org/10.36681/tused.2025.009" TargetMode="External"/><Relationship Id="rId37" Type="http://schemas.openxmlformats.org/officeDocument/2006/relationships/hyperlink" Target="https://www.tused.org/index.php/tused/article/download/3615/1177/13629" TargetMode="External"/><Relationship Id="rId38" Type="http://schemas.openxmlformats.org/officeDocument/2006/relationships/hyperlink" Target="https://doi.org/10.1080/00377996.2015.1124376" TargetMode="External"/><Relationship Id="rId39" Type="http://schemas.openxmlformats.org/officeDocument/2006/relationships/hyperlink" Target="http://com.appolearning.files.s3.amazonaws.com/production/uploads/uploaded_file/4f12b8b3-40dc-4a2e-9463-671441cce91f/Case_Study_of_SAMR_and_TPACK.pdf" TargetMode="External"/><Relationship Id="rId40" Type="http://schemas.openxmlformats.org/officeDocument/2006/relationships/hyperlink" Target="https://doi.org/10.26855/er.2021.10.001" TargetMode="External"/><Relationship Id="rId41" Type="http://schemas.openxmlformats.org/officeDocument/2006/relationships/hyperlink" Target="https://wap.hillpublisher.com/ArticleDetails.aspx?type=PDF&amp;cid=743" TargetMode="External"/><Relationship Id="rId42" Type="http://schemas.openxmlformats.org/officeDocument/2006/relationships/hyperlink" Target="https://doi.org/10.48371/PEDS.2026.80.1.017" TargetMode="External"/><Relationship Id="rId43" Type="http://schemas.openxmlformats.org/officeDocument/2006/relationships/hyperlink" Target="https://bulletin-pedagogical.ablaikhan.kz/index.php/j1/article/download/1611/796" TargetMode="External"/><Relationship Id="rId44" Type="http://schemas.openxmlformats.org/officeDocument/2006/relationships/hyperlink" Target="https://spa.msu.ru/wp-content/uploads/12.pdf" TargetMode="External"/><Relationship Id="rId45" Type="http://schemas.openxmlformats.org/officeDocument/2006/relationships/hyperlink" Target="https://doi.org/10.37539/M230505.2023.21.67.001" TargetMode="External"/><Relationship Id="rId46" Type="http://schemas.openxmlformats.org/officeDocument/2006/relationships/hyperlink" Target="http://natsrazvitie.ru/files/Monografiya_M8._Tsifra._Tendentsii_problemy_perspektivy.pdf" TargetMode="External"/><Relationship Id="rId47" Type="http://schemas.openxmlformats.org/officeDocument/2006/relationships/hyperlink" Target="https://www.tojet.net/articles/v20i2/2022.pdf" TargetMode="External"/><Relationship Id="rId48" Type="http://schemas.openxmlformats.org/officeDocument/2006/relationships/hyperlink" Target="https://www.aunsec.org/application/files/2117/6793/5105/3rd_GUAF_Report.pdf" TargetMode="External"/><Relationship Id="rId49" Type="http://schemas.openxmlformats.org/officeDocument/2006/relationships/hyperlink" Target="https://doi.org/10.51474/jer.v13i2.713" TargetMode="External"/><Relationship Id="rId50" Type="http://schemas.openxmlformats.org/officeDocument/2006/relationships/hyperlink" Target="https://jer.kusoed.edu.np/download/evolution-and-impact-of-blended-learning-in-higher-education-a-brief-systematic-review-from-2010-to-15418.pdf" TargetMode="External"/><Relationship Id="rId51" Type="http://schemas.openxmlformats.org/officeDocument/2006/relationships/hyperlink" Target="https://doi.org/10.5220/0007679005410548" TargetMode="External"/><Relationship Id="rId52" Type="http://schemas.openxmlformats.org/officeDocument/2006/relationships/hyperlink" Target="https://www.scitepress.org/Papers/2019/76790/76790.pdf" TargetMode="External"/><Relationship Id="rId53" Type="http://schemas.openxmlformats.org/officeDocument/2006/relationships/hyperlink" Target="https://doi.org/10.20533/ijels.2046.4568.2022.0081" TargetMode="External"/><Relationship Id="rId54" Type="http://schemas.openxmlformats.org/officeDocument/2006/relationships/hyperlink" Target="https://infonomics-society.org/wp-content/uploads/All-Things-Merge-into-One-and-a-River-Runs-Through-It.pdf" TargetMode="External"/><Relationship Id="rId55" Type="http://schemas.openxmlformats.org/officeDocument/2006/relationships/hyperlink" Target="https://doi.org/10.2760/159770" TargetMode="External"/><Relationship Id="rId56" Type="http://schemas.openxmlformats.org/officeDocument/2006/relationships/hyperlink" Target="https://publications.jrc.ec.europa.eu/repository/bitstream/JRC107466/pdf_digcomedu_a4_final.pdf" TargetMode="External"/><Relationship Id="rId57" Type="http://schemas.openxmlformats.org/officeDocument/2006/relationships/hyperlink" Target="https://files.eric.ed.gov/fulltext/EJ868626.pdf" TargetMode="External"/><Relationship Id="rId58" Type="http://schemas.openxmlformats.org/officeDocument/2006/relationships/hyperlink" Target="https://doi.org/10.36312/jisip.v6i4.3716" TargetMode="External"/><Relationship Id="rId59" Type="http://schemas.openxmlformats.org/officeDocument/2006/relationships/hyperlink" Target="https://ejournal.mandalanursa.org/index.php/JISIP/article/download/3716/2982" TargetMode="External"/><Relationship Id="rId60" Type="http://schemas.openxmlformats.org/officeDocument/2006/relationships/hyperlink" Target="https://edu-collaboration.kz/images/document/inno/innov-dulaty.pdf" TargetMode="External"/><Relationship Id="rId61" Type="http://schemas.openxmlformats.org/officeDocument/2006/relationships/hyperlink" Target="https://doi.org/10.23977/ceed.2019.015" TargetMode="External"/><Relationship Id="rId62" Type="http://schemas.openxmlformats.org/officeDocument/2006/relationships/hyperlink" Target="https://www.atlantis-press.com/article/125940184.pdf" TargetMode="External"/><Relationship Id="rId63" Type="http://schemas.openxmlformats.org/officeDocument/2006/relationships/hyperlink" Target="https://ru.ichei.org/Uploads/Download/2022-11-22/637c8bb9a3afd.pdf" TargetMode="External"/><Relationship Id="rId64" Type="http://schemas.openxmlformats.org/officeDocument/2006/relationships/hyperlink" Target="https://doi.org/10.48009/4_iis_2022_125" TargetMode="External"/><Relationship Id="rId65" Type="http://schemas.openxmlformats.org/officeDocument/2006/relationships/hyperlink" Target="https://iacis.org/iis/2022/4_iis_2022_293-311.pdf" TargetMode="External"/><Relationship Id="rId66" Type="http://schemas.openxmlformats.org/officeDocument/2006/relationships/hyperlink" Target="https://wdec.smartedu.cn/doc/International" TargetMode="External"/><Relationship Id="rId67" Type="http://schemas.openxmlformats.org/officeDocument/2006/relationships/hyperlink" Target="https://doi.org/10.1787/062a7394-en" TargetMode="External"/><Relationship Id="rId68" Type="http://schemas.openxmlformats.org/officeDocument/2006/relationships/hyperlink" Target="https://www.oecd.org/content/dam/oecd/en/publications/reports/2026/01/oecd-digital-education-outlook-2026_940e0dd8/062a7394-en.pdf" TargetMode="External"/><Relationship Id="rId6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