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Türkiye'de Sağlık Turizminin Gelişimi ve Ekonomik Etkileri</w:t>
      </w: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Yüksek Lisans Tezi</w:t>
      </w:r>
    </w:p>
    <w:p>
      <w:pPr>
        <w:spacing w:before="120" w:after="120"/>
        <w:ind w:firstLine="0"/>
        <w:jc w:val="center"/>
      </w:pPr>
    </w:p>
    <w:p>
      <w:pPr>
        <w:spacing w:before="80" w:after="80"/>
        <w:ind w:firstLine="0"/>
        <w:jc w:val="center"/>
      </w:pPr>
      <w:r>
        <w:rPr>
          <w:rFonts w:ascii="Times New Roman" w:hAnsi="Times New Roman"/>
          <w:b w:val="0"/>
          <w:sz w:val="24"/>
        </w:rPr>
        <w:t>Danışman: [Unvan Ad Soyad]</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İçindekiler</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Özet</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Giriş</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1. BİRİNCİ BÖLÜM: SAĞLIK TURİZMİNE İLİŞKİN KAVRAMSAL ÇERÇEVE</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4"/>
        </w:rPr>
        <w:t>1.1. Turizm ve Sağlık Kavramları</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4"/>
        </w:rPr>
        <w:t>1.2. Sağlık Turizminin Tanımı, Kapsamı ve Çeşitleri</w:t>
      </w:r>
      <w:r>
        <w:fldChar w:fldCharType="end"/>
      </w:r>
      <w:r>
        <w:rPr>
          <w:rFonts w:ascii="Times New Roman" w:hAnsi="Times New Roman"/>
          <w:sz w:val="24"/>
        </w:rPr>
        <w:tab/>
      </w:r>
      <w:r>
        <w:fldChar w:fldCharType="begin" w:dirty="true"/>
      </w:r>
      <w:r>
        <w:instrText xml:space="preserve"> PAGEREF _Toc_heading_4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4"/>
        </w:rPr>
        <w:t>1.3. Sağlık Turizmini Etkileyen Faktörler</w:t>
      </w:r>
      <w:r>
        <w:fldChar w:fldCharType="end"/>
      </w:r>
      <w:r>
        <w:rPr>
          <w:rFonts w:ascii="Times New Roman" w:hAnsi="Times New Roman"/>
          <w:sz w:val="24"/>
        </w:rPr>
        <w:tab/>
      </w:r>
      <w:r>
        <w:fldChar w:fldCharType="begin" w:dirty="true"/>
      </w:r>
      <w:r>
        <w:instrText xml:space="preserve"> PAGEREF _Toc_heading_5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4"/>
        </w:rPr>
        <w:t>2. İKİNCİ BÖLÜM: DÜNYADA VE TÜRKİYE'DE SAĞLIK TURİZMİNİN GELİŞİMİ</w:t>
      </w:r>
      <w:r>
        <w:fldChar w:fldCharType="end"/>
      </w:r>
      <w:r>
        <w:rPr>
          <w:rFonts w:ascii="Times New Roman" w:hAnsi="Times New Roman"/>
          <w:sz w:val="24"/>
        </w:rPr>
        <w:tab/>
      </w:r>
      <w:r>
        <w:fldChar w:fldCharType="begin" w:dirty="true"/>
      </w:r>
      <w:r>
        <w:instrText xml:space="preserve"> PAGEREF _Toc_heading_6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4"/>
        </w:rPr>
        <w:t>2.1. Dünyada Sağlık Turizminin Genel Durumu ve Gelişimi</w:t>
      </w:r>
      <w:r>
        <w:fldChar w:fldCharType="end"/>
      </w:r>
      <w:r>
        <w:rPr>
          <w:rFonts w:ascii="Times New Roman" w:hAnsi="Times New Roman"/>
          <w:sz w:val="24"/>
        </w:rPr>
        <w:tab/>
      </w:r>
      <w:r>
        <w:fldChar w:fldCharType="begin" w:dirty="true"/>
      </w:r>
      <w:r>
        <w:instrText xml:space="preserve"> PAGEREF _Toc_heading_7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4"/>
        </w:rPr>
        <w:t>2.2. Türkiye'de Sağlık Turizminin Tarihsel Gelişimi ve Mevcut Durumu</w:t>
      </w:r>
      <w:r>
        <w:fldChar w:fldCharType="end"/>
      </w:r>
      <w:r>
        <w:rPr>
          <w:rFonts w:ascii="Times New Roman" w:hAnsi="Times New Roman"/>
          <w:sz w:val="24"/>
        </w:rPr>
        <w:tab/>
      </w:r>
      <w:r>
        <w:fldChar w:fldCharType="begin" w:dirty="true"/>
      </w:r>
      <w:r>
        <w:instrText xml:space="preserve"> PAGEREF _Toc_heading_8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4"/>
        </w:rPr>
        <w:t>2.3. Türkiye'nin Sağlık Turizmindeki Güçlü ve Zayıf Yönleri (SWOT Analizi Bağlamında)</w:t>
      </w:r>
      <w:r>
        <w:fldChar w:fldCharType="end"/>
      </w:r>
      <w:r>
        <w:rPr>
          <w:rFonts w:ascii="Times New Roman" w:hAnsi="Times New Roman"/>
          <w:sz w:val="24"/>
        </w:rPr>
        <w:tab/>
      </w:r>
      <w:r>
        <w:fldChar w:fldCharType="begin" w:dirty="true"/>
      </w:r>
      <w:r>
        <w:instrText xml:space="preserve"> PAGEREF _Toc_heading_9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4"/>
        </w:rPr>
        <w:t>3. ÜÇÜNCÜ BÖLÜM: TÜRKİYE'DE SAĞLIK TURİZMİNİN EKONOMİK ETKİLERİ</w:t>
      </w:r>
      <w:r>
        <w:fldChar w:fldCharType="end"/>
      </w:r>
      <w:r>
        <w:rPr>
          <w:rFonts w:ascii="Times New Roman" w:hAnsi="Times New Roman"/>
          <w:sz w:val="24"/>
        </w:rPr>
        <w:tab/>
      </w:r>
      <w:r>
        <w:fldChar w:fldCharType="begin" w:dirty="true"/>
      </w:r>
      <w:r>
        <w:instrText xml:space="preserve"> PAGEREF _Toc_heading_10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4"/>
        </w:rPr>
        <w:t>3.1. Sağlık Turizminin Doğrudan ve Dolaylı Ekonomik Katkıları</w:t>
      </w:r>
      <w:r>
        <w:fldChar w:fldCharType="end"/>
      </w:r>
      <w:r>
        <w:rPr>
          <w:rFonts w:ascii="Times New Roman" w:hAnsi="Times New Roman"/>
          <w:sz w:val="24"/>
        </w:rPr>
        <w:tab/>
      </w:r>
      <w:r>
        <w:fldChar w:fldCharType="begin" w:dirty="true"/>
      </w:r>
      <w:r>
        <w:instrText xml:space="preserve"> PAGEREF _Toc_heading_11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4"/>
        </w:rPr>
        <w:t>3.2. Döviz Gelirleri ve Dış Ticaret Dengesine Etkisi</w:t>
      </w:r>
      <w:r>
        <w:fldChar w:fldCharType="end"/>
      </w:r>
      <w:r>
        <w:rPr>
          <w:rFonts w:ascii="Times New Roman" w:hAnsi="Times New Roman"/>
          <w:sz w:val="24"/>
        </w:rPr>
        <w:tab/>
      </w:r>
      <w:r>
        <w:fldChar w:fldCharType="begin" w:dirty="true"/>
      </w:r>
      <w:r>
        <w:instrText xml:space="preserve"> PAGEREF _Toc_heading_12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4"/>
        </w:rPr>
        <w:t>3.3. İstihdam Yaratma ve Bölgesel Kalkınmaya Etkisi</w:t>
      </w:r>
      <w:r>
        <w:fldChar w:fldCharType="end"/>
      </w:r>
      <w:r>
        <w:rPr>
          <w:rFonts w:ascii="Times New Roman" w:hAnsi="Times New Roman"/>
          <w:sz w:val="24"/>
        </w:rPr>
        <w:tab/>
      </w:r>
      <w:r>
        <w:fldChar w:fldCharType="begin" w:dirty="true"/>
      </w:r>
      <w:r>
        <w:instrText xml:space="preserve"> PAGEREF _Toc_heading_13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"_Toc_heading_14" </w:instrText>
      </w:r>
      <w:r>
        <w:fldChar w:fldCharType="separate"/>
      </w:r>
      <w:r>
        <w:rPr>
          <w:rFonts w:ascii="Times New Roman" w:hAnsi="Times New Roman"/>
          <w:sz w:val="24"/>
        </w:rPr>
        <w:t>Sonuç ve Öneriler</w:t>
      </w:r>
      <w:r>
        <w:fldChar w:fldCharType="end"/>
      </w:r>
      <w:r>
        <w:rPr>
          <w:rFonts w:ascii="Times New Roman" w:hAnsi="Times New Roman"/>
          <w:sz w:val="24"/>
        </w:rPr>
        <w:tab/>
      </w:r>
      <w:r>
        <w:fldChar w:fldCharType="begin" w:dirty="true"/>
      </w:r>
      <w:r>
        <w:instrText xml:space="preserve"> PAGEREF _Toc_heading_14 \h </w:instrText>
      </w:r>
      <w:r>
        <w:fldChar w:fldCharType="separate"/>
      </w:r>
      <w:r>
        <w:rPr>
          <w:rFonts w:ascii="Times New Roman" w:hAnsi="Times New Roman"/>
          <w:sz w:val="24"/>
        </w:rPr>
        <w:t>1</w:t>
      </w:r>
      <w:r>
        <w:fldChar w:fldCharType="end"/>
      </w:r>
    </w:p>
    <w:p>
      <w:pPr>
        <w:spacing w:after="0"/>
        <w:ind w:firstLine="0" w:left="0"/>
      </w:pPr>
      <w:r>
        <w:fldChar w:fldCharType="end"/>
      </w:r>
    </w:p>
    <w:p>
      <w:r>
        <w:br w:type="page"/>
      </w:r>
    </w:p>
    <w:p>
      <w:pPr>
        <w:pStyle w:val="Heading1"/>
      </w:pPr>
      <w:bookmarkStart w:id="100" w:name="_Toc_heading_0"/>
      <w:r>
        <w:t>Özet</w:t>
      </w:r>
      <w:bookmarkEnd w:id="100"/>
    </w:p>
    <w:p>
      <w:r>
        <w:t>Bu yüksek lisans tezinde, Türkiye'de sağlık turizmi sektörünün gelişim süreci, bugünkü durumu ve ülke ekonomisine etkileri literatür temelinde incelenmiştir. Çalışmada nitel araştırma desenlerinden doküman analizi yöntemi kullanılmıştır. Bu doğrultuda akademik yayınlar, kurumsal raporlar, istatistiksel veriler ve yasal düzenlemelerden oluşan ikincil veri kaynakları çözümlenmiştir. Araştırma sonucunda, Türkiye’nin son yirmi yılda sağlık turizmini bilinçli bir devlet politikası olarak benimsediği ve bu alanda başlıca küresel aktörlerden biri hâline geldiği belirlenmiştir. Bu gelişimin temelinde Sağlıkta Dönüşüm Programı ile güçlendirilen modern sağlık altyapısının, devlet teşviklerinin ve özel sektör yatırımlarının yer aldığı saptanmıştır. Sektörün, yarattığı yüksek katma değerli döviz geliri, düşük ithal girdi bağımlılığı ve istihdam olanakları ile Türkiye’nin kronik cari işlemler açığının kapatılmasına ve bölgesel kalkınmaya destek olduğu sonucuna varılmıştır.</w:t>
      </w:r>
    </w:p>
    <w:p>
      <w:r>
        <w:t>Yapılan GZFT analizi, Türkiye'nin rekabet gücünü belirleyen güçlü yönleri ortaya koymuştur. Bu yönler; uygun tedavi maliyetleri, uluslararası akreditasyona sahip nitelikli sağlık tesisleri, coğrafi konum ve zengin turistik olanaklardır. Buna karşın bütüncül bir ulusal markalaşma stratejisinin eksikliği, kurumlar arası koordinasyon zayıflığı, personelin yabancı dil yetersizliği ve hizmet standardizasyonundaki sorunların, sektörün potansiyelini tam olarak kullanmasını engelleyen temel zayıflıklar olduğu görülmüştür. Tez, Türkiye'nin sağlık turizmi alanındaki sürdürülebilir başarısının, mevcut güçlü yönlerini korurken bu yapısal zayıflıkların giderilmesine yönelik stratejik adımların atılmasına bağlı olduğunu göstermektedir.</w:t>
      </w:r>
    </w:p>
    <w:p>
      <w:r>
        <w:t>Anahtar Kelimeler: Dış Ticaret Dengesi, Ekonomik Etki, GZFT Analizi, Sağlık Turizmi, Türkiye</w:t>
      </w:r>
    </w:p>
    <w:p>
      <w:r>
        <w:br w:type="page"/>
      </w:r>
    </w:p>
    <w:p>
      <w:pPr>
        <w:pStyle w:val="Heading1"/>
      </w:pPr>
      <w:bookmarkStart w:id="101" w:name="_Toc_heading_1"/>
      <w:r>
        <w:t>Giriş</w:t>
      </w:r>
      <w:bookmarkEnd w:id="101"/>
    </w:p>
    <w:p>
      <w:r>
        <w:t>Küreselleşme, 20. yüzyılın ikinci yarısından itibaren sermaye, mal ve hizmet akışkanlığını artırarak dünya ekonomisinin yapısını kökten dönüştürmüştür. Bu dönüşüm en çok turizm sektöründe hissedilmiştir. Birleşmiş Milletler Dünya Turizm Örgütüne (UNWTO) göre turizm, dünyanın en büyük ve en hızlı büyüyen endüstrilerinden biri hâline gelmiştir (KOSTAK, 2007, s. 20). Ulaşım ve iletişim teknolojilerindeki ilerlemeler, yükselen yaşam standartları ve sınırlar arası geçirgenliğin artması gibi faktörler uluslararası turizm hareketlerini kitleselleştirmiş, bu da ülkeleri hem birer destinasyon hem de turizm pazarından daha fazla pay almak için rekabet eden ekonomik aktörler olarak konumlandırmıştır (KOSTAK, 2007, s. 21).</w:t>
      </w:r>
    </w:p>
    <w:p>
      <w:r>
        <w:t>Bu rekabet ortamında ülkeler, geleneksel “deniz, kum, güneş” üçgenine dayalı kitle turizminin ötesine geçerek daha yüksek katma değer yaratan ve sezonu on iki aya yayan alternatiflere yönelmiştir (KOSTAK, 2007, s. 22; Mert, 2013, s. 4). Bu alternatifler arasında sağlık turizmi, küresel ölçekte artan ekonomik potansiyeliyle ayrışmaktadır. Sağlık turizmi, bireylerin tedavi, rehabilitasyon veya sağlıklarını geliştirme (wellness) amacıyla kendi ülkeleri dışına seyahat etmeleridir (İçöz 2009, s. 2259). Bu seyahatlerin ardında, gelişmiş ülkelerdeki yüksek tedavi maliyetleri, uzun bekleme listeleri ve sigorta kapsamı dışındaki hizmetlere erişim zorluğu gibi itici faktörler bulunmaktadır (Coşkun, 2024, s. 73; Omay, 2013, s. 427). Örneğin, ABD’de 130.000 dolara mal olabilen bir kalp bypass ameliyatı Türkiye’de 11.000-15.000 dolar aralığında yapılabilmektedir; bu durum, maliyet avantajı motivasyonunu somutlaştırmaktadır (Omay, 2013, s. 428).</w:t>
      </w:r>
    </w:p>
    <w:p>
      <w:r>
        <w:t>Sağlık turizmi pazarı bu dinamikler eşliğinde önemli bir büyüme göstermektedir. Pazarın büyüklüğünün 2023 yılında yaklaşık 100 milyar dolara ulaştığı ve yıllık ortalama %15’lik bir büyüme oranıyla 2030’lu yıllarda 700 milyar doları aşmasının beklendiği belirtilmektedir (Tamer, 2026, s. 3; OKUR, 2025, s. 12). Bu pazarın temel oyuncuları Hindistan, Tayland, Singapur ve Malezya gibi Asya ülkeleri ile Macaristan, Meksika ve Brezilya gibi belirli alanlarda uzmanlaşmış destinasyonlardır (Sözeri, 2020, s. 41-43).</w:t>
      </w:r>
    </w:p>
    <w:p>
      <w:r>
        <w:t>Türkiye de bu küresel pazarda önemli bir aktör olmak için son yıllarda ciddi adımlar atmıştır. Turizm, Türkiye ekonomisi için tarihsel olarak stratejik bir sektör olmuş ve ödemeler dengesi açıklarının finansmanında önemli bir rol üstlenmiştir (KOSTAK, 2007, s. 2). Bu doğrultuda sağlık turizmi, yüksek döviz getirisi potansiyeliyle hem turizm sektörünü çeşitlendirmek hem de ülke ekonomisinin yapısal sorunlarına çözüm üretmek açısından bir fırsat olarak görülmektedir (Kuzhan, 2024, s. 35). Türkiye’nin jeotermal kaynak zenginliği, modern teknolojiyle donatılmış sağlık altyapısı, uluslararası akreditasyonlara sahip hastaneleri ve nitelikli hekim kadrosu bu alandaki temel güçlü yönlerini oluşturur (Mert, 2013, s. 10; KILAVUZ, 2018, s. 14). Sağlıkta Dönüşüm Programı ile başlayan ve USHAŞ (Uluslararası Sağlık Hizmetleri A.Ş.) gibi kurumların kurulmasıyla devam eden süreç, sağlık turizminin bir devlet politikası olarak benimsenmesiyle hız kazanmıştır (Solak, 2011, s. 16; Arıkan, 2017, s. 45). Bu politikaların bir sonucu olarak, 2023 yılında Türkiye’ye sağlık ve tıbbi nedenlerle gelen ziyaretçi sayısı yaklaşık 1,4 milyona, sektörden elde edilen gelir ise 2,3 milyar dolara ulaşmıştır (AVŞAR, 2024, s. 710).</w:t>
      </w:r>
    </w:p>
    <w:p>
      <w:r>
        <w:t>Bununla birlikte, Türkiye’nin bu alandaki potansiyelini tam olarak gerçekleştirmesinin önünde bazı engeller bulunmaktadır. Pazarlama ve markalaşma faaliyetlerindeki yetersizlikler, kurumlar arası koordinasyon eksikliği, hizmet standardizasyonundaki sorunlar ve bölgesel istikrarsızlıklar, sektörün sürdürülebilir büyümesini riske atan başlıca unsurlardır (Kuzhan, 2024, s. 19-20; Omay, 2013, s. 6). Bu nedenle Türkiye’nin sağlık turizmindeki mevcut konumunu, tarihsel gelişimini, ekonomik etkilerini ve stratejik potansiyelini bütüncül bir yaklaşımla incelemek gerekmektedir. Böyle bir çalışma, hem akademik alanyazına katkı sunacak hem de politika yapıcılara yol gösterecektir.</w:t>
      </w:r>
    </w:p>
    <w:p>
      <w:r>
        <w:t>Araştırmanın temel amacı, Türkiye'de sağlık turizminin gelişim sürecini ve bu sektörün ülke ekonomisine etkilerini literatür temelinde kapsamlı bir şekilde incelemektir. Bu ana amaç doğrultusunda, sağlık turizmi kavramının ve türlerinin tanımlanması, sektörün dünyadaki ve Türkiye’deki tarihsel gelişiminin ve mevcut durumunun ortaya konulması hedeflenmektedir. Ayrıca Türkiye'nin sağlık turizmi alanındaki güçlü ve zayıf yönleri ile fırsat ve tehditlerinin analiz edilmesi; sektörün döviz gelirleri, dış ticaret dengesi, istihdam ve bölgesel kalkınma üzerindeki ekonomik etkilerinin ortaya konulması amaçlanmıştır.</w:t>
      </w:r>
    </w:p>
    <w:p>
      <w:r>
        <w:t>Sağlık turizmi, küresel ölçekte hızla büyüyen ve ülkeler arasında yoğun rekabetin yaşandığı bir sektördür. Türkiye için bu sektör, hem bir döviz girdisi kaynağı hem de ekonomik kalkınmanın stratejik bir bileşenidir. Araştırmanın önemi, bu stratejik konumu çeşitli boyutlarıyla ele almasından kaynaklanmaktadır.</w:t>
      </w:r>
    </w:p>
    <w:p>
      <w:r>
        <w:t>İlk olarak, bu çalışma sağlık turizminin Türkiye ekonomisi için taşıdığı ekonomik önemi somut verilerle ortaya koymaktadır. Sağlık turizmi, genel turizme kıyasla daha yüksek harcama potansiyeli olan bir kitleye hitap ettiği için daha yüksek katma değer yaratmaktadır. Sağlık turizmi ihracatının net döviz girdisi oranının mal ihracatına göre çok daha yüksek olduğu, yani dışa bağımlılığının düşük olduğu belirtilmektedir (DEMİREL, 2023, s. 6-7). Bu özellik, Türkiye gibi kronik cari açık sorunu yaşayan bir ekonomi için sağlık turizminin stratejik önemini artırmaktadır. Bu tezin bulguları, sektörün dış ticaret dengesine ve döviz gelirlerine katkısını analiz ederek politika tartışmalarına ampirik bir zemin sunacaktır.</w:t>
      </w:r>
    </w:p>
    <w:p>
      <w:r>
        <w:t>İkinci olarak, araştırma sektörün istihdam yaratma ve bölgesel kalkınmayı teşvik etme potansiyelini incelemektedir. Sağlık turizmi; hekimlerden tercümanlara, otel çalışanlarından inşaat işçilerine kadar geniş bir yelpazede doğrudan ve dolaylı istihdam olanakları yaratmaktadır (Tamer, 2026, s. 5). Ek olarak, termal kaynaklara sahip bölgeler gibi az gelişmiş yörelerin kalkındırılması için bir araç olarak kullanılabilmektedir (KOSTAK, 2007, s. 24). Bu çalışma, sağlık turizminin sosyal ve bölgesel etkilerini analiz ederek yerel ve ulusal kalkınma politikalarına ışık tutacaktır.</w:t>
      </w:r>
    </w:p>
    <w:p>
      <w:r>
        <w:t>Üçüncü olarak, tez Türkiye’nin sağlık turizmi alanındaki rekabet pozisyonunu GZFT (Güçlü Yönler, Zayıf Yönler, Fırsatlar, Tehditler) analizi çerçevesinde değerlendirmektedir. Türkiye’nin maliyet avantajı, kaliteli sağlık altyapısı ve coğrafi konumu gibi güçlü yönlerinin yanı sıra pazarlama eksikliği ve kurumsal koordinasyon zayıflığı gibi sorunları da mevcuttur (Kuzhan, 2024, s. 19-20; Tamer, 2026, s. 5). Bu çalışma, mevcut durumu bütüncül bir şekilde analiz ederek sektörün geleceğine yönelik sürdürülebilir stratejiler geliştirilmesine zemin hazırlayacaktır.</w:t>
      </w:r>
    </w:p>
    <w:p>
      <w:r>
        <w:t>Son olarak, bu tez Türkiye’de sağlık turizminin gelişimi ve ekonomik etkileri üzerine yapılmış dağınık akademik çalışmaları, sektörel raporları ve güncel verileri bir araya getirip sentezleyerek bütüncül bir kaynak niteliği taşımaktadır. Sağlık turizmine yönelik ilginin arttığı bir dönemde, konuyu hem kavramsal hem de ampirik boyutlarıyla ele alan bu çalışmanın, alandaki akademisyenler, öğrenciler, politika yapıcılar ve sektör profesyonelleri için kapsamlı bir başvuru eseri olması beklenmektedir.</w:t>
      </w:r>
    </w:p>
    <w:p>
      <w:r>
        <w:t>Bu çalışmada, Türkiye'de sağlık turizminin gelişim süreci ve ekonomik etkileri temel problem olarak ele alınmıştır. Bu ana problem çerçevesinde aşağıdaki alt problemlere yanıt aranmıştır:</w:t>
      </w:r>
    </w:p>
    <w:p>
      <w:r>
        <w:t>1.  Sağlık turizminin kavramsal çerçevesi, kapsamı ve alt türleri (medikal, termal, ileri yaş ve engelli turizmi) nelerdir?</w:t>
      </w:r>
    </w:p>
    <w:p>
      <w:r>
        <w:t>2.  Küresel sağlık turizmi pazarının mevcut durumu, büyüklüğü ve önde gelen destinasyonları hangileridir? Bu pazarı yönlendiren temel eğilimler nelerdir?</w:t>
      </w:r>
    </w:p>
    <w:p>
      <w:r>
        <w:t>3.  Türkiye’de sağlık turizminin tarihsel gelişim süreci nasıl şekillenmiştir? Bu süreçte rol oynayan temel politika ve kurumsal düzenlemeler nelerdir?</w:t>
      </w:r>
    </w:p>
    <w:p>
      <w:r>
        <w:t>4.  Türkiye’nin sağlık turizmi sektöründeki güçlü ve zayıf yönleri ile bu sektörün karşı karşıya olduğu fırsatlar ve tehditler nelerdir?</w:t>
      </w:r>
    </w:p>
    <w:p>
      <w:r>
        <w:t>5.  Sağlık turizminin Türkiye ekonomisine olan doğrudan, dolaylı ve uyarılmış etkileri nelerdir?</w:t>
      </w:r>
    </w:p>
    <w:p>
      <w:r>
        <w:t>6.  Sağlık turizminin Türkiye’nin döviz gelirleri ve dış ticaret dengesi üzerindeki etkisi nedir?</w:t>
      </w:r>
    </w:p>
    <w:p>
      <w:r>
        <w:t>7.  Sağlık turizminin istihdam yaratma ve bölgesel kalkınmayı teşvik etme potansiyeli ne düzeydedir?</w:t>
      </w:r>
    </w:p>
    <w:p>
      <w:r>
        <w:t>Bu araştırma, Türkiye’de sağlık turizminin gelişimini ve ülke ekonomisine etkilerini incelemektedir. Araştırmanın kapsamı; sağlık turizminin kavramsal çerçevesi, dünyadaki ve Türkiye’deki tarihsel gelişimi, Türkiye’nin sektördeki rekabet gücünün GZFT analizi ile değerlendirilmesi ve sektörün döviz gelirleri, dış ticaret dengesi, istihdam ve bölgesel kalkınma üzerindeki ekonomik etkilerinin incelenmesiyle oluşturulmuştur. Çalışma, ağırlıklı olarak 2000 yılı sonrası döneme odaklanarak sektörün modern gelişim dinamiklerini ele almıştır.</w:t>
      </w:r>
    </w:p>
    <w:p>
      <w:r>
        <w:t>Araştırmanın bazı sınırlılıkları bulunmaktadır. Birincisi, bu tez bir literatür taraması çalışmasıdır ve anket, mülakat veya saha çalışması gibi birincil veri toplama yöntemleri kullanılmamıştır. Bulgular ve değerlendirmeler, kamuya açık akademik yayınlar, sektörel raporlar, kurumsal veriler ve yasal düzenlemelerden elde edilen ikincil verilere dayanmaktadır. İkinci olarak, sağlık turizmi gelirleri ve ziyaretçi sayılarına ilişkin veriler farklı kurumlar tarafından yayımlanabilmekte ve bu veriler arasında zaman zaman farklılıklar gözlenebilmektedir. Bu çalışmada, tutarlılığı sağlamak amacıyla mümkün olduğunca resmi ve güncel kaynaklar temel alınmış, ancak veri tutarsızlıkları bir sınırlılık olarak kabul edilmiştir. Son olarak, sağlık turizminin sosyal ve kültürel etkileri gibi ekonomik olmayan boyutları araştırmanın odak noktası dışında bırakılmıştır.</w:t>
      </w:r>
    </w:p>
    <w:p>
      <w:r>
        <w:t>Bu tez çalışmasında, araştırma problemini yanıtlamak amacıyla nitel araştırma yöntemlerinden literatür taraması (doküman analizi) tekniği kullanılmıştır. Literatür taraması, belirli bir konu hakkında daha önce yapılmış çalışmaları sistematik biçimde inceleyerek, sentezleyerek ve değerlendirerek mevcut bilgi birikimini ortaya koyan bir yöntemdir (Sak vd., 2021, s. 228). Bu doğrultuda, çalışmanın konusuna ilişkin olarak Yükseköğretim Kurulu (YÖK) Ulusal Tez Merkezi, DergiPark, Google Akademik gibi veri tabanları ile Sağlık Bakanlığı, Kültür ve Turizm Bakanlığı, USHAŞ, TÜİK ve kalkınma ajansları gibi kurumların yayımladığı raporlar ve istatistikler taranmıştır. Tarama sürecinde “sağlık turizmi”, “medikal turizm”, “termal turizm”, “Türkiye’de turizm” ve “sağlık turizminin ekonomik etkileri” gibi anahtar kelimeler kullanılmıştır. Elde edilen kaynaklar, araştırmanın amaçları doğrultusunda tematik olarak sınıflandırılmıştır. Veriler, “tarihsel gelişim”, “ekonomik etkiler”, “GZFT analizi”, “politika ve teşvikler” gibi başlıklar altında toplanmış ve bu temalar etrafında karşılaştırmalı bir analiz ve sentez yapılmıştır. Bu yöntemle, sağlık turizminin gelişim süreci ve ekonomik etkileri üzerine mevcut bilgi birikimi bütüncül bir çerçevede sunularak araştırma sorularına dayanaklı yanıtlar üretilmiştir.</w:t>
      </w:r>
    </w:p>
    <w:p>
      <w:r>
        <w:t>Bu çalışma; giriş, üç ana bölüm ve sonuç bölümlerinden oluşmaktadır. Giriş bölümünde, araştırmanın problem durumu, amacı, önemi, araştırma soruları, kapsamı, sınırlılıkları, yöntemi ve tezin genel yapısı hakkında bilgi verilmiştir. Birinci Bölüm’de, “Sağlık Turizmine İlişkin Kavramsal Çerçeve” başlığı altında, sağlık ve turizm kavramları ayrıntılı olarak incelenmiş, sağlık turizminin tanımı, kapsamı ve medikal, termal, SPA-wellness, ileri yaş ve engelli turizmi gibi alt türleri açıklanmıştır. Ayrıca, sağlık turistlerinin destinasyon tercihlerini etkileyen arz ve talep yönlü faktörler literatür temelinde ele alınmıştır. İkinci Bölüm, “Dünyada ve Türkiye'de Sağlık Turizminin Gelişimi” başlığını taşımaktadır. Bu bölümde, ilk olarak küresel sağlık turizmi pazarının genel durumu, büyüklüğü, önde gelen destinasyonlar ve temel eğilimler incelenmiştir. Ardından, Türkiye’de sağlık turizminin tarihsel gelişim süreci, bu süreçteki kurumsal ve yasal düzenlemeler ile sektöre yönelik devlet teşvikleri ayrıntılı olarak ele alınmıştır. Bölümün sonunda, Türkiye’nin sağlık turizmi alanındaki mevcut durumu GZFT analizi ile değerlendirilmiştir. Üçüncü Bölüm’de, “Türkiye'de Sağlık Turizminin Ekonomik Etkileri” incelenmiştir. Bu bölümde, sağlık turizminin doğrudan, dolaylı ve uyarılmış ekonomik katkıları kuramsal bir çerçevede açıklanmıştır. Ardından, sektörün Türkiye’nin istihdam yaratma ve bölgesel kalkınma üzerindeki etkileri ile döviz gelirleri ve dış ticaret dengesine olan katkısı, mevcut veriler ve çalışmalar ışığında analiz edilmiştir. Sonuç bölümünde ise, araştırma boyunca elde edilen bulgular özetlenmiş, genel bir değerlendirme yapılmış ve konuya ilişkin olarak gelecek çalışmalara ve politika yapıcılara yönelik önerilerde bulunulmuştur.</w:t>
      </w:r>
    </w:p>
    <w:p>
      <w:r>
        <w:br w:type="page"/>
      </w:r>
    </w:p>
    <w:p>
      <w:pPr>
        <w:pStyle w:val="Heading1"/>
      </w:pPr>
      <w:bookmarkStart w:id="102" w:name="_Toc_heading_2"/>
      <w:r>
        <w:t>1. BİRİNCİ BÖLÜM: SAĞLIK TURİZMİNE İLİŞKİN KAVRAMSAL ÇERÇEVE</w:t>
      </w:r>
      <w:bookmarkEnd w:id="102"/>
    </w:p>
    <w:p>
      <w:pPr>
        <w:pStyle w:val="Heading2"/>
      </w:pPr>
      <w:bookmarkStart w:id="103" w:name="_Toc_heading_3"/>
      <w:r>
        <w:t>1.1. Turizm ve Sağlık Kavramları</w:t>
      </w:r>
      <w:bookmarkEnd w:id="103"/>
    </w:p>
    <w:p>
      <w:r>
        <w:t>Sağlık turizmi, "sağlık" ve "turizm" kavramlarının kesişiminde yer alır. Bu katmanlı olgunun kapsamını ve niteliğini doğru anlayabilmek için, öncelikle bu iki temel kavramın ayrı ayrı incelenmesi gerekmektedir. Bu doğrultuda, turizm ve sağlık alanyazındaki temel tanımları ve farklı yaklaşımlar çerçevesinde değerlendirilecektir.</w:t>
      </w:r>
    </w:p>
    <w:p>
      <w:r>
        <w:t>Turizm, insanlık tarihi kadar eski olan seyahat olgusunun modern bir yansıması kabul edilir. Kavramın etimolojik kökeni, Latincede “dönme, dolaşma” anlamlarına gelen “tournus” kelimesine dayanır (Mert, 2013, s. 2; KOSTAK, 2007, s. 12). Fransızcadaki “tourner” (dönmek) ve “tour” (dairesel hareket, gezi) kelimeleri de bu kökten türemiştir. “Turist” ve “turizm” terimleri ilk olarak 19. yüzyılın başlarında İngilizcede kullanılmaya başlanmış, turizm kelimesi ise turist kelimesinden sonra 1811 yılı dolaylarında ortaya çıkmıştır (Mert, 2013, s. 2; Sancar, 2025, s. 2). Kavramın özünde, sürekli ikamet edilen yerden ayrılıp belirli bir süre sonra geri dönme eylemi bulunur (Mert, 2013, s. 2).</w:t>
      </w:r>
    </w:p>
    <w:p>
      <w:r>
        <w:t>Alanyazında turizm kavramına ilişkin çok sayıda tanım yapılmıştır. Ancak üzerinde fikir birliğine varılan bazı ortak unsurlar mevcuttur. Bu unsurlar şunlardır: sürekli yaşanılan yerin dışına seyahat edilmesi, seyahatin geçici olması ve bu sırada kazanç elde etme amacı güdülmemesi (SARI ÇALLI, 2015, s. 137). Alanın temel tanımlarından biri Uluslararası Bilimsel Turizm Uzmanları Birliği (AIEST) tarafından yapılmıştır. Bu tanıma göre turizm, “yabancıların geçici ya da devamlı asli kazanç elde etme faaliyeti için yerleşmeye dönüşmemek şartıyla konaklamalarından doğan ilişkilerin ve olayların bütünüdür” (KOSTAK, 2007, s. 13). Bu ifade, turizmi uzun süreli yerleşim veya göç hareketlerinden ayırır. Hunziker ve Krapf'ın 1942 yılında formüle ettiği tanım da bu çerçeveyle uyumludur. Bu tanımda turizm, "kişilerin mutat ikamet yerleri dışındaki seyahat ve konaklamalarından doğan ilişkiler ve olgular toplamı" olarak ifade edilirken, faaliyetin temel bir kazanç sağlama amacıyla yapılmaması gerektiği özellikle vurgulanmıştır (Cunha n.d., s. 11).</w:t>
      </w:r>
    </w:p>
    <w:p>
      <w:r>
        <w:t>İstatistiki ölçümler için standart oluşturan teknik tanım ise Birleşmiş Milletler ve Dünya Turizm Örgütü (UNWTO) tarafından yapılmıştır. Bu tanıma göre turizm, “çalışma amacı olmaksızın, eğlence, iş veya diğer kişisel amaçlar doğrultusunda, bir yılı aşmayacak süre boyunca, ikamet edilen çevrenin dışında yerlere gidilmesi” faaliyetidir (SARI ÇALLI, 2015, s. 136).</w:t>
      </w:r>
    </w:p>
    <w:p>
      <w:r>
        <w:t>Turizmin tanımlanmasındaki çeşitlilik, olgunun katmanlı yapısından kaynaklanır. Turizm, ekonomik bir faaliyet olmasının yanı sıra kültürel etkileşimleri, sosyal değişimleri, çevresel dinamikleri ve teknolojik altyapı gereksinimlerini de içeren karmaşık bir sistemdir (Sancar, 2025, s. 1). Bu yapı, farklı bileşenler arasındaki ilişkilerle şekillenir. Nitekim Tribe (1997), turizm sistemini birbiriyle ilişkili çok sayıda bileşenden oluşan bir bütün olarak tasvir etmiştir. Bu bileşenler arasında turist (motivasyon, tatmin), işletmeler (pazarlama, ağırlama), yerel toplum (ekonomik, sosyal ve kültürel etkiler), yerel çevre ve yönetimler (planlama, politika) yer alır (SARI ÇALLI, 2015, s. 137). Bu bileşenlerin etkileşimi, turizmin hem bir endüstri hem de bir sosyal bilim araştırma alanı olarak değerini ortaya koymaktadır.</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Şekil 1. Şekil 1. Sağlık Turizmi Endüstrisinin Girdileri</w:t>
      </w:r>
    </w:p>
    <w:p>
      <w:pPr>
        <w:spacing w:after="320"/>
        <w:ind w:firstLine="0"/>
        <w:jc w:val="center"/>
      </w:pPr>
      <w:r>
        <w:rPr>
          <w:i/>
          <w:sz w:val="18"/>
        </w:rPr>
        <w:t>Kaynak: (Kuzhan, 2024, s. 29'da aktarılan Gonzales vd., 2001)</w:t>
      </w:r>
    </w:p>
    <w:p>
      <w:r>
        <w:t>Şekilde turizm endüstrisinin genel yapısı ve sağlık turizmi özelindeki girdileri kavramsal olarak gösterilmektedir. Turizm faaliyeti, ulaşım, konaklama ve pazarlama gibi temel hizmetlerin yanı sıra altyapı, iletişim ve eğitim gibi destekleyici sektörlerin de entegrasyonunu gerektiren karmaşık bir yapıya sahiptir (Kuzhan, 2024, s. 29).</w:t>
      </w:r>
    </w:p>
    <w:p>
      <w:r>
        <w:t>Turizm hareketlerinin hacmini ve ekonomik etkilerini doğru ölçebilmek için turizm aktörlerinin sınıflandırılması gerekir. Bu sınıflandırmada “ziyaretçi”, “turist” ve “günübirlikçi” (ekskürsiyonist) ayrımı önemlidir. Dünya Turizm Örgütü’ne göre “ziyaretçi”, sürekli yaşadığı ülke dışına gelir elde etme amacı gütmeden seyahat eden kişiyi tanımlayan genel bir üst kavramdır. Ziyaretçiler konaklama durumlarına göre ikiye ayrılır: Gittiği yerde en az bir gece konaklayanlara “turist”, 24 saatten az kalıp gecelemeyenlere ise “günübirlikçi” denir (KOSTAK, 2007, s. 16-17). Turistin ilk tanımı 1937 yılında Milletler Cemiyeti tarafından yapılmış ve "bir ülkede 24 saatten fazla kalan kişi" olarak belirlenmiştir; bu tanım 1963 Roma Konferansı'nda güncellenerek eğlenceye ek olarak iş ve kişisel nedenlerle seyahat edenleri de kapsayacak şekilde genişletilmiştir (KOSTAK, 2007, s. 17). Turistler ayrıca seyahat ettikleri coğrafyaya göre de kendi ülkesi içinde seyahat eden “yerli turist” ve ülke sınırları dışına çıkan “yabancı turist” olarak sınıflandırılır (Sözeri, 2020, s. 8).</w:t>
      </w:r>
    </w:p>
    <w:p>
      <w:r>
        <w:t>Sağlık, insan yaşamının temel bir unsuru ve toplumsal refahın önemli göstergelerinden biridir. Kavram, Latince “salus” (bir engelin üstesinden gelebilme durumu) kelimesinden türemiştir ve en temel anlamıyla yaşamsal faaliyetleri sürdürme yeteneğini ifade eder (Tejeida-Padilla, 1997, s. 2). Ancak modern yaklaşımlar, sağlığı salt biyolojik bir durumun ötesinde, bütüncül bir kavram olarak değerlendirir.</w:t>
      </w:r>
    </w:p>
    <w:p>
      <w:r>
        <w:t>Bu alandaki en yaygın tanım Dünya Sağlık Örgütü (DSÖ) tarafından yapılmıştır. DSÖ’nün tanımı sağlığı, hastalık veya sakatlığın yokluğuna indirgemez; onu “bedensel, ruhsal ve sosyal yönden tam bir iyilik hâli” olarak tanımlar (İçöz 2009, s. 4; TURANCI 2021, s. 3). Bu tanım, sağlığı negatif bir durumun eksikliği yerine pozitif bir iyilik durumuna bağlamasıyla öne çıkar. Böylece sağlığı hastalığa indirgemekten kurtararak sağlığın korunması ve geliştirilmesi fikrini benimsetmiş, birey yerine toplumu merkeze alan bir yaklaşım sunmuştur (TURANCI, 2021, s. 3).</w:t>
      </w:r>
    </w:p>
    <w:p>
      <w:r>
        <w:t>DSÖ'nün tanımından hareketle sağlığın üç temel boyutu olduğu görülmektedir. Birincisi, bedenin biyolojik ve fizyolojik işlevlerinin sağlıklı bir şekilde yerine getirilmesiyle ilgili olan fiziksel sağlıktır (TURANCI, 2021, s. 3). Tıbbi model, sağlığı bu boyutta, vücutta patolojik bir bulgunun veya anormalliğin olmaması durumu olarak tanımlamaktadır (BEZİRGAN, 2025, s. 13). Bu boyut, organların ve dokuların işleyişi üzerinden biyomedikal bir çerçevede değerlendirilir.</w:t>
      </w:r>
    </w:p>
    <w:p>
      <w:r>
        <w:t>İkinci boyut olan ruhsal (zihinsel) sağlık ise DSÖ tarafından “bir bireyin kendi yeteneklerini fark ettiği, yaşamın normal stresleriyle baş edebildiği, verimli bir şekilde çalışabildiği ve toplumuna katkıda bulunabildiği bir refah durumu” olarak açıklanmıştır (TURANCI, 2021, s. 4). Bu tanım, ruhsal sağlığı ruhsal bozuklukların yokluğuyla sınırlamaz; onu bireyin potansiyelini gerçekleştirmesi ve toplumsal işlevlerini yerine getirmesiyle ilgili dinamik bir iç denge durumu olarak açıklar (TURANCI, 2021, s. 4).</w:t>
      </w:r>
    </w:p>
    <w:p>
      <w:r>
        <w:t>Üçüncü boyut, bireyin toplum içindeki diğer bireylerle sağlıklı iletişim kurabilmesini, sosyal ilişkiler geliştirebilmesini ve bir topluluğa ait olma hissini yaşayabilmesini ifade eden sosyal sağlıktır (TURANCI, 2021, s. 4). Sosyal sağlık, sosyal bütünleşme, topluma katkı ve sosyal kabul gibi unsurları içerir. Bu kavram, bireyin ailesi, arkadaşları ve genel olarak toplumla iş birliği içinde olmasını anlatır.</w:t>
      </w:r>
    </w:p>
    <w:p>
      <w:r>
        <w:t>Bu üç boyut birbiriyle sıkı bir ilişki içindedir. Örneğin, fiziksel bir rahatsızlık bireyin ruhsal ve sosyal sağlığını olumsuz etkileyebilir. Benzer şekilde, ruhsal sorunlar da bedensel hastalıklara zemin hazırlayabilmektedir (TURANCI, 2021, s. 3).</w:t>
      </w:r>
    </w:p>
    <w:p>
      <w:r>
        <w:t>Sağlık kavramına yönelik farklı teorik modeller de geliştirilmiştir. Bu modeller, sağlığa farklı pencerelerden bakarak kavramın zenginliğini ortaya koyar. Bu modeller dört ana başlıkta toplanabilir (BEZİRGAN, 2025, s. 13-14). Tıbbi model, sağlığı hastalık ve sakatlığın yokluğu olarak tanımlar ve vücuttaki patolojik bulgulara odaklanır. Bütüncül (holistik) model ise bireyi bedensel, zihinsel ve sosyal bir bütün olarak ele alır; DSÖ tanımıyla uyumlu şekilde sağlığın pozitif yönlerine ve iyilik hâline odaklanmaktadır. İyi olma (wellness) modeli, sağlığın sübjektif değerlendirmelerini ve normalden daha iyi olma durumunu merkeze alır; bu modelde bireyin kendini nasıl hissettiği (fiziksel zindelik, rahatlık, enerji) önemlidir. Son olarak çevresel model, bireyin yaşadığı çevre ile ilişkisinin sağlık üzerindeki etkisini vurgular ve bireyin sürekli değişen çevresel koşullardan etkilendiğini kabul eder.</w:t>
      </w:r>
    </w:p>
    <w:p>
      <w:r>
        <w:t>Özetle, hem turizm hem de sağlık, tek bir tanıma sığdırılamayacak kadar geniş ve çok katmanlı olgulardır. Turizm, bireyin sürekli yaşadığı ortamın dışına çıkarak gerçekleştirdiği geçici bir yer değiştirme faaliyetidir. Sağlık ise bireyin bu faaliyete katılma kapasitesini de belirleyen bedensel, ruhsal ve sosyal bir iyilik hâlini ifade eder. Bireyler, sağlık durumları elverdiği ölçüde turizm faaliyetlerine katılarak sosyal yaşamlarını çeşitlendirir. Öte yandan, mevcut sağlık durumlarının yetersizliği veya daha iyi sağlık hizmeti arayışı, bireyleri tedavi amacıyla seyahat etmeye yöneltebilir (BEZİRGAN, 2025, s. 14). Bu durum, "sağlık-turizm ikilisi" (health-tourism binomial) olarak adlandırılan ve bu çalışmanın temel konusunu oluşturan sağlık turizmi alanını ortaya çıkarmıştır (Tejeida-Padilla, 1997, s. 1).</w:t>
      </w:r>
    </w:p>
    <w:p>
      <w:pPr>
        <w:pStyle w:val="Heading2"/>
      </w:pPr>
      <w:bookmarkStart w:id="104" w:name="_Toc_heading_4"/>
      <w:r>
        <w:t>1.2. Sağlık Turizminin Tanımı, Kapsamı ve Çeşitleri</w:t>
      </w:r>
      <w:bookmarkEnd w:id="104"/>
    </w:p>
    <w:p>
      <w:r>
        <w:t>Dünya Turizm Örgütü (UNWTO) ve Avrupa Seyahat Komisyonu (ETC) tarafından yapılan ortak tanıma göre sağlık turizmi, birincil motivasyonu fiziksel, zihinsel ve/veya ruhsal sağlığa katkıda bulunmak olan seyahatleri içermektedir (Exploring Health Tourism – Executive Summary, 2018, s. 9). Alanyazında kavram sıklıkla dar bir çerçevede ele alınsa da modern yaklaşımlar, Dünya Sağlık Örgütünün (DSÖ) sağlık tanımına paralel bir genişlik sunmaktadır. DSÖ, sağlığı hastalık veya sakatlığın olmamasının yanı sıra bedensel, zihinsel ve sosyal yönden tam bir iyilik hâli olarak tanımlamaktadır (İçöz 2009, s. 4). Bu bütüncül bakış açısı, sağlık turizminin kapsamını genişletmekte ve onu basit bir tedavi seyahatinin ötesine taşımaktadır.</w:t>
      </w:r>
    </w:p>
    <w:p>
      <w:r>
        <w:t>Örneğin Kostak (2007), “turizm sağlığı” ve “turist sağlığı” kavramlarını sağlık turizminden ayırmaktadır. Turizm sağlığı, turistik faaliyetlerin bir bölgedeki çevre, toplum ve çalışanlar üzerindeki bütüncül sağlık etkilerini inceler. Turist sağlığı ise seyahat sırasında ortaya çıkan kaza veya ani hastalık gibi durumlarda sunulan acil ve temel sağlık hizmetlerini ifade etmektedir (KOSTAK, 2007, s. 16). Sağlık turizmi ise bu iki durumdan farklı olarak, planlı bir şekilde sağlık hizmeti almak amacıyla yapılan seyahatleri tanımlar. Bu seyahatlerin ardında yatan temel nedenler oldukça çeşitlidir. Kimi bireyler kendi ülkelerindeki yüksek tedavi maliyetlerinden, uzun bekleme listelerinden veya sigorta sistemlerinin yetersizliğinden kaçınmak isterken (İçöz 2009, s. 6;Mert 2013, s. 5), kimileri daha ileri tıbbi teknolojilere, uzman personele veya kendi ülkelerinde yasal olmayan tedavilere erişmeyi amaçlamaktadır (Coşkun, 2024, s. 8; Lunt, 2012, s. 7).</w:t>
      </w:r>
    </w:p>
    <w:p>
      <w:r>
        <w:t>İçöz (2009), Cohen’in sınıflandırmasına atıfta bulunarak sağlık turistlerini beş kategoriye ayırmıştır: seyahatleri sırasında herhangi bir sağlık hizmeti almayan “yalnızca turistler”, seyahat esnasında kaza veya ani hastalık nedeniyle tedavi gören “tatilde tedavi edilen turistler”, tatil tercihlerini kısmen tedavi olanaklarına göre yapan “tatil ve tedavi amaçlı turistler”, birincil amacı tedavi olup iyileşme sürecinde tatil yapan “tatil yapan hastalar” ve tek amacı belirli bir tıbbi operasyon veya tedavi olan “yalnızca hastalar” (s. 5).</w:t>
      </w:r>
    </w:p>
    <w:p>
      <w:r>
        <w:t>Özellikle ciddi ve zorunlu tıbbi müdahaleler için yapılan seyahatlerin, keyif ve eğlence çağrışımları olan “turizm” kavramıyla ifade edilmesinin, hastaların yaşadığı zorlu süreci basite indirgediği ileri sürülmektedir (Lunt, 2012, s. 9). Bu nedenle, literatürde “sınır ötesi sağlık hizmeti” veya “uluslararası tıbbi seyahat” gibi daha nötr terimler de önerilmektedir (Lunt, 2012, s. 9). Ancak “sağlık turizmi” terimi, hem sağlık hizmetleri sektörünü hem de seyahatin ekonomik boyutunu bir arada ifade etmesi nedeniyle yaygın kullanımını sürdürmektedir.</w:t>
      </w:r>
    </w:p>
    <w:p>
      <w:r>
        <w:t>Yapılan çalışmalar incelendiğinde, sağlık turizminin genellikle üç ana başlık altında toplandığı görülmektedir: medikal turizm, termal ve SPA-wellness turizmi, ileri yaş ve engelli turizmi (Sözeri, 2020, s. 22; ARIKAN, 2017, s. 29; TENGİLİMOĞLU, 2024, s. 13). Bu sınıflandırma, sunulan hizmetin niteliğine ve hizmetten yararlanan bireylerin motivasyonlarına dayanmaktadır.</w:t>
      </w:r>
    </w:p>
    <w:p>
      <w:r>
        <w:t>Medikal turizm</w:t>
      </w:r>
    </w:p>
    <w:p>
      <w:r>
        <w:t>Medikal turizm, sağlık turizminin, kanıta dayalı tıbbi kaynakların ve hizmetlerin kullanımını içeren alt dalı olarak tanımlanmaktadır (Exploring Health Tourism – Executive Summary, 2018, s. 10). Bu turizm türünü diğerlerinden ayıran temel özellik, seyahatin ana motivasyonunun dinlenme veya zindelik kazanmaktan çok, doğrudan bir hastalığın teşhis ve tedavisine veya cerrahi bir müdahaleye yönelik olmasıdır (Coşkun, 2024, s. 9; Sözeri, 2020, s. 22). Ekonomik İşbirliği ve Kalkınma Örgütü (OECD), medikal turizmi “kişilerin tıbbi tedavi hizmeti almak suretiyle farklı ülkelere gitmesi” şeklinde tanımlamıştır (Sözeri, 2020, s. 22).</w:t>
      </w:r>
    </w:p>
    <w:p>
      <w:r>
        <w:t>Medikal turizmde sunulan hizmetler geniş bir yelpazeye yayılır. Organ nakli, kardiyovasküler cerrahi, onkolojik tedaviler gibi karmaşık ve ileri uzmanlık gerektiren müdahalelerin yanı sıra estetik cerrahi, diş tedavileri, göz ameliyatları, tüp bebek (IVF) uygulamaları ve genel sağlık taramaları (check-up) da bu kategoride sıkça talep edilen hizmetler arasındadır (Sözeri, 2020, s. 23; ARIKAN, 2017, s. 27; Mert, 2013, s. 7). Bireylerin medikal turizme yönelmesindeki en önemli faktörlerden biri maliyettir. Özellikle gelişmiş ülkelerdeki yüksek tedavi giderleri, hastaları daha uygun fiyatlı hizmet sunan ülkelere yöneltmektedir. Bazı durumlarda maliyet avantajının %80’e varabildiği belirtilmektedir (İçöz 2009, s. 6). Örneğin, ABD'de 250 bin dolar maliyeti olan bir kalp ameliyatının Hindistan'da 50 bin dolara yapılabilmesi bu durumu somutlaştıran bir örnektir (Coşkun, 2024, s. 11).</w:t>
      </w:r>
    </w:p>
    <w:p>
      <w:r>
        <w:t>Maliyetin yanı sıra, kendi ülkesinde tedavi için uzun bekleme listelerinde kalmak istemeyen hastalar, daha hızlı hizmet alabilmek için yurt dışını tercih edebilmektedir (İçöz 2009, s. 7). Gelişmiş tıbbi teknolojiye ve alanında uzmanlaşmış sağlık personeline erişim de bir diğer çekim faktörüdür (Coşkun, 2024, s. 8). Özellikle Asya ülkeleri, bu alanda önemli bir atılım gerçekleştirmiştir. Hindistan, batılı standartlarda teknolojik altyapı, uluslararası deneyime sahip doktorlar ve İngilizcenin yaygın kullanımı gibi avantajlarla medikal turizmin küresel merkezlerinden biri olarak kabul edilmektedir (İçöz 2009, s. 7). Benzer şekilde Tayland, Singapur ve Malezya da bu pazarda önemli destinasyonlar arasında yer alır. Malezya’nın özellikle İslami referansları nedeniyle Orta Doğu pazarında, Singapur’un ise Japon pazarında öne çıktığı görülmektedir (İçöz 2009, s. 7).</w:t>
      </w:r>
    </w:p>
    <w:p>
      <w:r>
        <w:t>Farklı ülkeler, medikal turizm pazarında belirli tedavi alanlarında uzmanlaşarak kendilerini konumlandırmıştır. Aşağıdaki tablo, bazı ülkelerin hangi sağlık hizmeti alanlarında öne çıktığını göstermektedir.</w:t>
      </w:r>
    </w:p>
    <w:tbl>
      <w:tblPr>
        <w:tblStyle w:val="TableGrid"/>
        <w:tblW w:type="auto" w:w="0"/>
        <w:tblLayout w:type="autofit"/>
        <w:tblLook w:firstColumn="1" w:firstRow="1" w:lastColumn="0" w:lastRow="0" w:noHBand="0" w:noVBand="1" w:val="04A0"/>
      </w:tblPr>
      <w:tblGrid>
        <w:gridCol w:w="4110"/>
        <w:gridCol w:w="4110"/>
      </w:tblGrid>
      <w:tr>
        <w:tc>
          <w:tcPr>
            <w:tcW w:type="dxa" w:w="4110"/>
          </w:tcPr>
          <w:p>
            <w:r>
              <w:rPr>
                <w:rFonts w:ascii="Times New Roman" w:hAnsi="Times New Roman"/>
                <w:b/>
                <w:sz w:val="24"/>
              </w:rPr>
              <w:t>Ülke</w:t>
            </w:r>
          </w:p>
        </w:tc>
        <w:tc>
          <w:tcPr>
            <w:tcW w:type="dxa" w:w="4110"/>
          </w:tcPr>
          <w:p>
            <w:r>
              <w:rPr>
                <w:rFonts w:ascii="Times New Roman" w:hAnsi="Times New Roman"/>
                <w:b/>
                <w:sz w:val="24"/>
              </w:rPr>
              <w:t>Öne Çıkan Sağlık Hizmeti Alanları</w:t>
            </w:r>
          </w:p>
        </w:tc>
      </w:tr>
      <w:tr>
        <w:tc>
          <w:tcPr>
            <w:tcW w:type="dxa" w:w="4110"/>
          </w:tcPr>
          <w:p>
            <w:r>
              <w:rPr>
                <w:rFonts w:ascii="Times New Roman" w:hAnsi="Times New Roman"/>
                <w:sz w:val="24"/>
              </w:rPr>
              <w:t>Malezya</w:t>
            </w:r>
          </w:p>
        </w:tc>
        <w:tc>
          <w:tcPr>
            <w:tcW w:type="dxa" w:w="4110"/>
          </w:tcPr>
          <w:p>
            <w:r>
              <w:rPr>
                <w:rFonts w:ascii="Times New Roman" w:hAnsi="Times New Roman"/>
                <w:sz w:val="24"/>
              </w:rPr>
              <w:t>Kozmetik cerrahi, alternatif tıp</w:t>
            </w:r>
          </w:p>
        </w:tc>
      </w:tr>
      <w:tr>
        <w:tc>
          <w:tcPr>
            <w:tcW w:type="dxa" w:w="4110"/>
          </w:tcPr>
          <w:p>
            <w:r>
              <w:rPr>
                <w:rFonts w:ascii="Times New Roman" w:hAnsi="Times New Roman"/>
                <w:sz w:val="24"/>
              </w:rPr>
              <w:t>Singapur</w:t>
            </w:r>
          </w:p>
        </w:tc>
        <w:tc>
          <w:tcPr>
            <w:tcW w:type="dxa" w:w="4110"/>
          </w:tcPr>
          <w:p>
            <w:r>
              <w:rPr>
                <w:rFonts w:ascii="Times New Roman" w:hAnsi="Times New Roman"/>
                <w:sz w:val="24"/>
              </w:rPr>
              <w:t>Kalp operasyonları, böbrek ve kemik iliği nakli</w:t>
            </w:r>
          </w:p>
        </w:tc>
      </w:tr>
      <w:tr>
        <w:tc>
          <w:tcPr>
            <w:tcW w:type="dxa" w:w="4110"/>
          </w:tcPr>
          <w:p>
            <w:r>
              <w:rPr>
                <w:rFonts w:ascii="Times New Roman" w:hAnsi="Times New Roman"/>
                <w:sz w:val="24"/>
              </w:rPr>
              <w:t>Tayland</w:t>
            </w:r>
          </w:p>
        </w:tc>
        <w:tc>
          <w:tcPr>
            <w:tcW w:type="dxa" w:w="4110"/>
          </w:tcPr>
          <w:p>
            <w:r>
              <w:rPr>
                <w:rFonts w:ascii="Times New Roman" w:hAnsi="Times New Roman"/>
                <w:sz w:val="24"/>
              </w:rPr>
              <w:t>Diş, check-up, basit estetik operasyonları</w:t>
            </w:r>
          </w:p>
        </w:tc>
      </w:tr>
      <w:tr>
        <w:tc>
          <w:tcPr>
            <w:tcW w:type="dxa" w:w="4110"/>
          </w:tcPr>
          <w:p>
            <w:r>
              <w:rPr>
                <w:rFonts w:ascii="Times New Roman" w:hAnsi="Times New Roman"/>
                <w:sz w:val="24"/>
              </w:rPr>
              <w:t>Brezilya</w:t>
            </w:r>
          </w:p>
        </w:tc>
        <w:tc>
          <w:tcPr>
            <w:tcW w:type="dxa" w:w="4110"/>
          </w:tcPr>
          <w:p>
            <w:r>
              <w:rPr>
                <w:rFonts w:ascii="Times New Roman" w:hAnsi="Times New Roman"/>
                <w:sz w:val="24"/>
              </w:rPr>
              <w:t>Kozmetik cerrahi</w:t>
            </w:r>
          </w:p>
        </w:tc>
      </w:tr>
      <w:tr>
        <w:tc>
          <w:tcPr>
            <w:tcW w:type="dxa" w:w="4110"/>
          </w:tcPr>
          <w:p>
            <w:r>
              <w:rPr>
                <w:rFonts w:ascii="Times New Roman" w:hAnsi="Times New Roman"/>
                <w:sz w:val="24"/>
              </w:rPr>
              <w:t>Güney Afrika</w:t>
            </w:r>
          </w:p>
        </w:tc>
        <w:tc>
          <w:tcPr>
            <w:tcW w:type="dxa" w:w="4110"/>
          </w:tcPr>
          <w:p>
            <w:r>
              <w:rPr>
                <w:rFonts w:ascii="Times New Roman" w:hAnsi="Times New Roman"/>
                <w:sz w:val="24"/>
              </w:rPr>
              <w:t>Kozmetik cerrahi</w:t>
            </w:r>
          </w:p>
        </w:tc>
      </w:tr>
      <w:tr>
        <w:tc>
          <w:tcPr>
            <w:tcW w:type="dxa" w:w="4110"/>
          </w:tcPr>
          <w:p>
            <w:r>
              <w:rPr>
                <w:rFonts w:ascii="Times New Roman" w:hAnsi="Times New Roman"/>
                <w:sz w:val="24"/>
              </w:rPr>
              <w:t>Macaristan</w:t>
            </w:r>
          </w:p>
        </w:tc>
        <w:tc>
          <w:tcPr>
            <w:tcW w:type="dxa" w:w="4110"/>
          </w:tcPr>
          <w:p>
            <w:r>
              <w:rPr>
                <w:rFonts w:ascii="Times New Roman" w:hAnsi="Times New Roman"/>
                <w:sz w:val="24"/>
              </w:rPr>
              <w:t>Diş ve kozmetik cerrahi</w:t>
            </w:r>
          </w:p>
        </w:tc>
      </w:tr>
      <w:tr>
        <w:tc>
          <w:tcPr>
            <w:tcW w:type="dxa" w:w="4110"/>
          </w:tcPr>
          <w:p>
            <w:r>
              <w:rPr>
                <w:rFonts w:ascii="Times New Roman" w:hAnsi="Times New Roman"/>
                <w:sz w:val="24"/>
              </w:rPr>
              <w:t>Hindistan</w:t>
            </w:r>
          </w:p>
        </w:tc>
        <w:tc>
          <w:tcPr>
            <w:tcW w:type="dxa" w:w="4110"/>
          </w:tcPr>
          <w:p>
            <w:r>
              <w:rPr>
                <w:rFonts w:ascii="Times New Roman" w:hAnsi="Times New Roman"/>
                <w:sz w:val="24"/>
              </w:rPr>
              <w:t>Ortopedik ve kardiyak girişimler, kanser tanı ve tedavisi</w:t>
            </w:r>
          </w:p>
        </w:tc>
      </w:tr>
      <w:tr>
        <w:tc>
          <w:tcPr>
            <w:tcW w:type="dxa" w:w="4110"/>
          </w:tcPr>
          <w:p>
            <w:r>
              <w:rPr>
                <w:rFonts w:ascii="Times New Roman" w:hAnsi="Times New Roman"/>
                <w:sz w:val="24"/>
              </w:rPr>
              <w:t>Meksika</w:t>
            </w:r>
          </w:p>
        </w:tc>
        <w:tc>
          <w:tcPr>
            <w:tcW w:type="dxa" w:w="4110"/>
          </w:tcPr>
          <w:p>
            <w:r>
              <w:rPr>
                <w:rFonts w:ascii="Times New Roman" w:hAnsi="Times New Roman"/>
                <w:sz w:val="24"/>
              </w:rPr>
              <w:t>Diş ve kilo sorunları</w:t>
            </w:r>
          </w:p>
        </w:tc>
      </w:tr>
      <w:tr>
        <w:tc>
          <w:tcPr>
            <w:tcW w:type="dxa" w:w="4110"/>
          </w:tcPr>
          <w:p>
            <w:r>
              <w:rPr>
                <w:rFonts w:ascii="Times New Roman" w:hAnsi="Times New Roman"/>
                <w:sz w:val="24"/>
              </w:rPr>
              <w:t>Kosta Rika</w:t>
            </w:r>
          </w:p>
        </w:tc>
        <w:tc>
          <w:tcPr>
            <w:tcW w:type="dxa" w:w="4110"/>
          </w:tcPr>
          <w:p>
            <w:r>
              <w:rPr>
                <w:rFonts w:ascii="Times New Roman" w:hAnsi="Times New Roman"/>
                <w:sz w:val="24"/>
              </w:rPr>
              <w:t>Porselen kron, dental implant, meme büyütme/küçültme, yüz germe</w:t>
            </w:r>
          </w:p>
        </w:tc>
      </w:tr>
    </w:tbl>
    <w:p/>
    <w:p>
      <w:r>
        <w:t>Kaynak: (Sözeri, 2020, s. 24)</w:t>
      </w:r>
    </w:p>
    <w:p>
      <w:r>
        <w:t>Tabloda da görüldüğü gibi, kozmetik cerrahi Brezilya ve Güney Afrika gibi ülkelerde yoğunlaşırken, diş tedavileri için Macaristan ve Meksika önemli merkezler olarak belirmiştir. Hindistan ve Singapur gibi ülkeler ise daha karmaşık cerrahi operasyonlar ve tedaviler için tercih edilmektedir (Sözeri, 2020, s. 24).</w:t>
      </w:r>
    </w:p>
    <w:p>
      <w:r>
        <w:t>Termal ve SPA-Wellness Turizmi</w:t>
      </w:r>
    </w:p>
    <w:p>
      <w:r>
        <w:t>Sağlık turizminin bu kolu, doğrudan tıbbi müdahalelerden çok, bireyin genel sağlığını korumaya, iyileştirmeye ve yaşam kalitesini artırmaya odaklanır. Tarihsel olarak en eski sağlık turizmi türlerinden biri olan termal turizm, doğal kaynakların tedavi edici özelliklerinden faydalanmayı esas alır (Coşkun, 2024, s. 9; Kuzhan, 2024, s. 4).</w:t>
      </w:r>
    </w:p>
    <w:p>
      <w:r>
        <w:t>Termal turizm, en genel tanımıyla, mineralize termal suların ve çamurların banyo, içme, soluma (inhalasyon) gibi yöntemlerle kullanıldığı bir turizm türüdür (Sözeri, 2020, s. 27; KOSTAK, 2007, s. 19). Bu uygulamalar genellikle iklim kürü, fizik tedavi, rehabilitasyon, egzersiz ve diyet gibi destekleyici tedavilerle bir kür programı dâhilinde sunulur (Sözeri, 2020, s. 27). Termal turizmin temel amacı, var olan bir hastalığın tedavisini desteklemek veya hastalık sonrası iyileşme (rehabilitasyon) sürecini hızlandırmaktır (Sözeri, 2020, s. 25). Bu kapsamda termalizm (kaplıca tedavisi), balneoterapi (mineralli su ile tedavi), peloidoterapi (çamur tedavisi), talassoterapi (deniz suyu ile tedavi) ve klimatizm (iklim tedavisi) gibi çeşitli yöntemler kullanılmaktadır (Sözeri, 2020, s. 26; KOSTAK, 2007, s. 19). Türkiye, bu alanda önemli bir potansiyele sahiptir. Ülke, jeotermal kaynak zenginliği bakımından Avrupa'da birinci, dünyada ise ilk yedi ülke arasında yer almaktadır (TENGİLİMOĞLU, 2021, s. 5; Solak, 2011, s. 21).</w:t>
      </w:r>
    </w:p>
    <w:p>
      <w:r>
        <w:t>SPA-Wellness turizmi ise daha çok sağlıklı bireylerin yaşam kalitelerini artırma ve koruma motivasyonuna dayanır. "SPA" terimi, Latince "Sanus Per Aquam" (sudan gelen sağlık) ifadesinin kısaltmasıdır ve su ile yapılan her türlü terapiyi, masajı ve bakımı içerir (Sözeri, 2020, s. 26; ARIKAN, 2017, s. 27). "Wellness" kavramı ise "well-being" (iyilik hâli) ve "fitness" (zindelik) kelimelerinin birleşiminden türetilmiştir; bireyin bedensel, zihinsel ve ruhsal olarak tam bir denge ve iyilik durumuna ulaşmasını hedefler (ARIKAN, 2017, s. 28; TENGİLİMOĞLU, 2021, s. 5). Wellness turizminin temel amacı tedavi etmekten çok önlemektir. Bu nedenle wellness turistleri, mevcut bir hastalığı iyileştirmek yerine, sağlıklarını ve zindeliklerini korumak ve geliştirmek amacıyla seyahat ederler (TENGİLİMOĞLU, 2021, s. 5).</w:t>
      </w:r>
    </w:p>
    <w:p>
      <w:r>
        <w:t>Wellness turizmi, sağlıklı beslenme, fitness, rahatlama, kişisel bakım ve zihinsel dinginlik sağlayan aktiviteleri içerir. Dünya çapında hızla büyüyen bu pazarın büyüklüğü 2017 yılında 639,4 milyar dolar olarak tahmin edilmiştir. Bu rakam, genel turizm endüstrisindeki büyüme oranının iki katından fazladır ve pazarın dinamizmini göstermektedir (TENGİLİMOĞLU, 2021, s. 5). Avrupa, wellness turizmi seyahatlerinde en çok tercih edilen bölge konumundadır (Solak, 2011, s. 19).</w:t>
      </w:r>
    </w:p>
    <w:p>
      <w:r>
        <w:t>İleri Yaş ve Engelli Turizmi</w:t>
      </w:r>
    </w:p>
    <w:p>
      <w:r>
        <w:t>Dünya nüfusunun yaşlanması ve engelli bireylerin sosyal hayata katılımının artması, sağlık turizmi içinde bu gruplara özel bir pazarın doğmasına yol açmıştır.</w:t>
      </w:r>
    </w:p>
    <w:p>
      <w:r>
        <w:t>İleri yaş turizmi, genellikle 65 yaş ve üzeri bireylerin sağlıklarını korumak, kronik rahatsızlıklarının etkilerini azaltmak veya rehabilite olmak amacıyla yaptıkları seyahatleri kapsar (Coşkun, 2024, s. 10; Mert, 2013, s. 8). Bu turizm türü, “geriatri turizmi” veya “üçüncü yaş turizmi” olarak da adlandırılmaktadır (TENGİLİMOĞLU, 2021, s. 6). Yaşlanan nüfusun sağlık sistemleri üzerinde yarattığı maliyet baskısı, yaşlı bireyleri ve sosyal güvenlik kurumlarını daha uygun maliyetli ve kaliteli bakım hizmetleri sunan ülkelere yöneltmektedir. Dünya genelinde 65 yaş ve üzeri nüfus 2019 yılında 703 milyon iken, bu sayının 2050 yılında 1,5 milyara ulaşacağı öngörülmektedir (TENGİLİMOĞLU, 2021, s. 5). İleri yaştaki turistler genellikle emekli oldukları için seyahat etmeye daha fazla boş zamana ve harcama potansiyeline sahiptirler. Bu durum, turizm faaliyetlerinin yılın on iki ayına yayılmasına katkı sağlayarak sektör için önemli bir ekonomik fırsat yaratmaktadır (Coşkun, 2024, s. 10).</w:t>
      </w:r>
    </w:p>
    <w:p>
      <w:r>
        <w:t>Engelli turizmi, erişilebilirlik standartlarının ön planda olduğu bir turizm türüdür. Bu turizm, engelli bireylerin seyahat, konaklama, tedavi ve rekreasyon ihtiyaçlarını karşılamaya yöneliktir (Coşkun, 2024, s. 10). Dünya Bankası verilerine göre, dünya nüfusunun yaklaşık %15’ini oluşturan bir milyar insan, çeşitli engellilik durumları ile yaşamaktadır (TENGİLİMOĞLU, 2021, s. 5). Bu büyük pazar uzun süre göz ardı edilmiştir. Ancak turizm sektörü son yıllarda bu alanın önemini fark etmiştir. Turizm faaliyetleri, engelli bireylerin fiziksel ve zihinsel rehabilitasyonlarına, sosyal bütünleşmelerine ve yaşam kalitelerinin artırılmasına önemli katkılar sağlamaktadır (Coşkun, 2024, s. 11). Bu nedenle, turistik tesislerin ve destinasyonların rampa, asansör, özel tasarlanmış odalar ve eğitimli personel gibi erişilebilirlik düzenlemelerini hayata geçirmesi, bu pazarın gelişiminde belirleyicidir.</w:t>
      </w:r>
    </w:p>
    <w:p>
      <w:r>
        <w:t>Sağlık turizmi, görüldüğü üzere medikal, termal-wellness ve ileri yaş-engelli turizmi gibi farklı motivasyonlara ve ihtiyaçlara hitap eden çeşitli alt dallardan oluşan dinamik bir sektördür. Bu çeşitlilik, destinasyonların farklı pazar segmentlerine odaklanarak stratejiler geliştirmesine olanak tanımakta ve küresel turizm pazarında önemli bir ekonomik değer yaratmaktadır.</w:t>
      </w:r>
    </w:p>
    <w:p>
      <w:pPr>
        <w:pStyle w:val="Heading2"/>
      </w:pPr>
      <w:bookmarkStart w:id="105" w:name="_Toc_heading_5"/>
      <w:r>
        <w:t>1.3. Sağlık Turizmini Etkileyen Faktörler</w:t>
      </w:r>
      <w:bookmarkEnd w:id="105"/>
    </w:p>
    <w:p>
      <w:r>
        <w:t>Sağlık turizmi, bireylerin tedavi, rehabilitasyon veya sağlıklarını geliştirme amacıyla ikamet ettikleri ülke dışına seyahat etmelerini kapsayan bir olgudur. Bu hareketliliğin arkasında, hastaların destinasyon seçimini şekillendiren çeşitli faktörler bulunmaktadır. İlgili literatür incelendiğinde, bu faktörlerin temel olarak arz ve talep yönlü etkenler şeklinde iki ana başlık altında toplandığı görülmektedir. Heung vd. (2010) tarafından geliştirilen ve alanyazında geniş kabul gören model, sağlık turizmi pazarını bu iki eksen üzerinden açıklamaktadır (Sözeri, 2020, s. 34; Arıkan, 2017, s. 32). Talep tarafı, hastanın bireysel ihtiyaçlarından ve karar verme sürecinden oluşur. Arz tarafı ise destinasyon ülkenin sunduğu hizmetleri, altyapıyı ve pazarlama faaliyetlerini içerir. Bu bölümde, sağlık turistlerinin destinasyon tercihlerini etkileyen temel faktörler, ilgili model çerçevesinde ve literatürdeki diğer bulgular ışığında incelenmiştir.</w:t>
      </w:r>
    </w:p>
    <w:p>
      <w:r>
        <w:t>Sağlık turistinin karar verme süreci, bir dizi kişisel, ekonomik ve sosyal değerlendirmeyi içeren aşamalı bir yapıya sahiptir. Bu süreç tıbbi bir ihtiyacın ortaya çıkmasıyla başlar ve ülke, hastane, hekim seçimi gibi adımlarla devam eder (Arıkan, 2017, s. 33). Bu aşamalarda hastanın kararını etkileyen başlıca faktörler maliyet avantajı, hizmet kalitesi, bekleme süreleri ve tedaviye erişim kolaylığıdır.</w:t>
      </w:r>
    </w:p>
    <w:p>
      <w:r>
        <w:t>Sağlık turizmini yönlendiren en temel ve en sık vurgulanan faktör maliyettir. Gelişmiş ülkelerdeki sağlık hizmetlerinin yüksek maliyetleri, hastaları daha uygun fiyatlı alternatifler aramaya itmektedir (Omay, 2013, s. 427). Nitekim Uluslararası Medikal Turizm Derneğinin (MTA) 2013 yılında yaptığı bir çalışmada, sağlık turistlerinin kararını etkileyen en önemli unsurun %80 oranla fiyat olduğu saptanmıştır (Sözeri, 2020, s. 35). Bu maliyet farkları, özellikle karmaşık cerrahi operasyonlarda belirginleşmektedir. Örneğin, ABD'de 130.000 dolara mal olabilen bir kalp bypass ameliyatının Türkiye'de 11.000-15.000 dolar aralığında yapılabilmesi, hastalar için ciddi bir tasarruf anlamına gelmektedir (Omay, 2013, s. 428). Benzer şekilde, New York'ta 250.000 dolar olan bir kalp ameliyatının Hindistan'da 50.000 dolara gerçekleştirilebilmesi, Asya ülkelerinin bu alandaki rekabet gücünü göstermektedir (Coşkun, 2024, s. 73).</w:t>
      </w:r>
    </w:p>
    <w:p>
      <w:r>
        <w:t>Farklı ülkelerdeki çeşitli tıbbi prosedürlerin maliyet karşılaştırmaları, Türkiye'nin sunduğu fiyat avantajını daha net bir şekilde ortaya koymaktadır.</w:t>
      </w:r>
    </w:p>
    <w:tbl>
      <w:tblPr>
        <w:tblStyle w:val="TableGrid"/>
        <w:tblW w:type="auto" w:w="0"/>
        <w:tblLayout w:type="autofit"/>
        <w:tblLook w:firstColumn="1" w:firstRow="1" w:lastColumn="0" w:lastRow="0" w:noHBand="0" w:noVBand="1" w:val="04A0"/>
      </w:tblPr>
      <w:tblGrid>
        <w:gridCol w:w="1174"/>
        <w:gridCol w:w="1174"/>
        <w:gridCol w:w="1174"/>
        <w:gridCol w:w="1174"/>
        <w:gridCol w:w="1174"/>
        <w:gridCol w:w="1174"/>
        <w:gridCol w:w="1174"/>
      </w:tblGrid>
      <w:tr>
        <w:tc>
          <w:tcPr>
            <w:tcW w:type="dxa" w:w="1174"/>
          </w:tcPr>
          <w:p>
            <w:r>
              <w:rPr>
                <w:rFonts w:ascii="Times New Roman" w:hAnsi="Times New Roman"/>
                <w:b/>
                <w:sz w:val="24"/>
              </w:rPr>
              <w:t>Cerrahi Prosedür</w:t>
            </w:r>
          </w:p>
        </w:tc>
        <w:tc>
          <w:tcPr>
            <w:tcW w:type="dxa" w:w="1174"/>
          </w:tcPr>
          <w:p>
            <w:r>
              <w:rPr>
                <w:rFonts w:ascii="Times New Roman" w:hAnsi="Times New Roman"/>
                <w:b/>
                <w:sz w:val="24"/>
              </w:rPr>
              <w:t>ABD</w:t>
            </w:r>
          </w:p>
        </w:tc>
        <w:tc>
          <w:tcPr>
            <w:tcW w:type="dxa" w:w="1174"/>
          </w:tcPr>
          <w:p>
            <w:r>
              <w:rPr>
                <w:rFonts w:ascii="Times New Roman" w:hAnsi="Times New Roman"/>
                <w:b/>
                <w:sz w:val="24"/>
              </w:rPr>
              <w:t>Türkiye</w:t>
            </w:r>
          </w:p>
        </w:tc>
        <w:tc>
          <w:tcPr>
            <w:tcW w:type="dxa" w:w="1174"/>
          </w:tcPr>
          <w:p>
            <w:r>
              <w:rPr>
                <w:rFonts w:ascii="Times New Roman" w:hAnsi="Times New Roman"/>
                <w:b/>
                <w:sz w:val="24"/>
              </w:rPr>
              <w:t>İrlanda</w:t>
            </w:r>
          </w:p>
        </w:tc>
        <w:tc>
          <w:tcPr>
            <w:tcW w:type="dxa" w:w="1174"/>
          </w:tcPr>
          <w:p>
            <w:r>
              <w:rPr>
                <w:rFonts w:ascii="Times New Roman" w:hAnsi="Times New Roman"/>
                <w:b/>
                <w:sz w:val="24"/>
              </w:rPr>
              <w:t>Tayland</w:t>
            </w:r>
          </w:p>
        </w:tc>
        <w:tc>
          <w:tcPr>
            <w:tcW w:type="dxa" w:w="1174"/>
          </w:tcPr>
          <w:p>
            <w:r>
              <w:rPr>
                <w:rFonts w:ascii="Times New Roman" w:hAnsi="Times New Roman"/>
                <w:b/>
                <w:sz w:val="24"/>
              </w:rPr>
              <w:t>Almanya</w:t>
            </w:r>
          </w:p>
        </w:tc>
        <w:tc>
          <w:tcPr>
            <w:tcW w:type="dxa" w:w="1174"/>
          </w:tcPr>
          <w:p>
            <w:r>
              <w:rPr>
                <w:rFonts w:ascii="Times New Roman" w:hAnsi="Times New Roman"/>
                <w:b/>
                <w:sz w:val="24"/>
              </w:rPr>
              <w:t>Hindistan</w:t>
            </w:r>
          </w:p>
        </w:tc>
      </w:tr>
      <w:tr>
        <w:tc>
          <w:tcPr>
            <w:tcW w:type="dxa" w:w="1174"/>
          </w:tcPr>
          <w:p>
            <w:r>
              <w:rPr>
                <w:rFonts w:ascii="Times New Roman" w:hAnsi="Times New Roman"/>
                <w:sz w:val="24"/>
              </w:rPr>
              <w:t>Kalp Bypass</w:t>
            </w:r>
          </w:p>
        </w:tc>
        <w:tc>
          <w:tcPr>
            <w:tcW w:type="dxa" w:w="1174"/>
          </w:tcPr>
          <w:p>
            <w:r>
              <w:rPr>
                <w:rFonts w:ascii="Times New Roman" w:hAnsi="Times New Roman"/>
                <w:sz w:val="24"/>
              </w:rPr>
              <w:t>130</w:t>
            </w:r>
          </w:p>
        </w:tc>
        <w:tc>
          <w:tcPr>
            <w:tcW w:type="dxa" w:w="1174"/>
          </w:tcPr>
          <w:p>
            <w:r>
              <w:rPr>
                <w:rFonts w:ascii="Times New Roman" w:hAnsi="Times New Roman"/>
                <w:sz w:val="24"/>
              </w:rPr>
              <w:t>11-15</w:t>
            </w:r>
          </w:p>
        </w:tc>
        <w:tc>
          <w:tcPr>
            <w:tcW w:type="dxa" w:w="1174"/>
          </w:tcPr>
          <w:p>
            <w:r>
              <w:rPr>
                <w:rFonts w:ascii="Times New Roman" w:hAnsi="Times New Roman"/>
                <w:sz w:val="24"/>
              </w:rPr>
              <w:t>27-28</w:t>
            </w:r>
          </w:p>
        </w:tc>
        <w:tc>
          <w:tcPr>
            <w:tcW w:type="dxa" w:w="1174"/>
          </w:tcPr>
          <w:p>
            <w:r>
              <w:rPr>
                <w:rFonts w:ascii="Times New Roman" w:hAnsi="Times New Roman"/>
                <w:sz w:val="24"/>
              </w:rPr>
              <w:t>11</w:t>
            </w:r>
          </w:p>
        </w:tc>
        <w:tc>
          <w:tcPr>
            <w:tcW w:type="dxa" w:w="1174"/>
          </w:tcPr>
          <w:p>
            <w:r>
              <w:rPr>
                <w:rFonts w:ascii="Times New Roman" w:hAnsi="Times New Roman"/>
                <w:sz w:val="24"/>
              </w:rPr>
              <w:t>17</w:t>
            </w:r>
          </w:p>
        </w:tc>
        <w:tc>
          <w:tcPr>
            <w:tcW w:type="dxa" w:w="1174"/>
          </w:tcPr>
          <w:p>
            <w:r>
              <w:rPr>
                <w:rFonts w:ascii="Times New Roman" w:hAnsi="Times New Roman"/>
                <w:sz w:val="24"/>
              </w:rPr>
              <w:t>9</w:t>
            </w:r>
          </w:p>
        </w:tc>
      </w:tr>
      <w:tr>
        <w:tc>
          <w:tcPr>
            <w:tcW w:type="dxa" w:w="1174"/>
          </w:tcPr>
          <w:p>
            <w:r>
              <w:rPr>
                <w:rFonts w:ascii="Times New Roman" w:hAnsi="Times New Roman"/>
                <w:sz w:val="24"/>
              </w:rPr>
              <w:t>Kalp Kapakçığı Değişimi</w:t>
            </w:r>
          </w:p>
        </w:tc>
        <w:tc>
          <w:tcPr>
            <w:tcW w:type="dxa" w:w="1174"/>
          </w:tcPr>
          <w:p>
            <w:r>
              <w:rPr>
                <w:rFonts w:ascii="Times New Roman" w:hAnsi="Times New Roman"/>
                <w:sz w:val="24"/>
              </w:rPr>
              <w:t>58</w:t>
            </w:r>
          </w:p>
        </w:tc>
        <w:tc>
          <w:tcPr>
            <w:tcW w:type="dxa" w:w="1174"/>
          </w:tcPr>
          <w:p>
            <w:r>
              <w:rPr>
                <w:rFonts w:ascii="Times New Roman" w:hAnsi="Times New Roman"/>
                <w:sz w:val="24"/>
              </w:rPr>
              <w:t>17</w:t>
            </w:r>
          </w:p>
        </w:tc>
        <w:tc>
          <w:tcPr>
            <w:tcW w:type="dxa" w:w="1174"/>
          </w:tcPr>
          <w:p>
            <w:r>
              <w:rPr>
                <w:rFonts w:ascii="Times New Roman" w:hAnsi="Times New Roman"/>
                <w:sz w:val="24"/>
              </w:rPr>
              <w:t>-</w:t>
            </w:r>
          </w:p>
        </w:tc>
        <w:tc>
          <w:tcPr>
            <w:tcW w:type="dxa" w:w="1174"/>
          </w:tcPr>
          <w:p>
            <w:r>
              <w:rPr>
                <w:rFonts w:ascii="Times New Roman" w:hAnsi="Times New Roman"/>
                <w:sz w:val="24"/>
              </w:rPr>
              <w:t>10</w:t>
            </w:r>
          </w:p>
        </w:tc>
        <w:tc>
          <w:tcPr>
            <w:tcW w:type="dxa" w:w="1174"/>
          </w:tcPr>
          <w:p>
            <w:r>
              <w:rPr>
                <w:rFonts w:ascii="Times New Roman" w:hAnsi="Times New Roman"/>
                <w:sz w:val="24"/>
              </w:rPr>
              <w:t>-</w:t>
            </w:r>
          </w:p>
        </w:tc>
        <w:tc>
          <w:tcPr>
            <w:tcW w:type="dxa" w:w="1174"/>
          </w:tcPr>
          <w:p>
            <w:r>
              <w:rPr>
                <w:rFonts w:ascii="Times New Roman" w:hAnsi="Times New Roman"/>
                <w:sz w:val="24"/>
              </w:rPr>
              <w:t>12</w:t>
            </w:r>
          </w:p>
        </w:tc>
      </w:tr>
      <w:tr>
        <w:tc>
          <w:tcPr>
            <w:tcW w:type="dxa" w:w="1174"/>
          </w:tcPr>
          <w:p>
            <w:r>
              <w:rPr>
                <w:rFonts w:ascii="Times New Roman" w:hAnsi="Times New Roman"/>
                <w:sz w:val="24"/>
              </w:rPr>
              <w:t>Kalça Protezi</w:t>
            </w:r>
          </w:p>
        </w:tc>
        <w:tc>
          <w:tcPr>
            <w:tcW w:type="dxa" w:w="1174"/>
          </w:tcPr>
          <w:p>
            <w:r>
              <w:rPr>
                <w:rFonts w:ascii="Times New Roman" w:hAnsi="Times New Roman"/>
                <w:sz w:val="24"/>
              </w:rPr>
              <w:t>45</w:t>
            </w:r>
          </w:p>
        </w:tc>
        <w:tc>
          <w:tcPr>
            <w:tcW w:type="dxa" w:w="1174"/>
          </w:tcPr>
          <w:p>
            <w:r>
              <w:rPr>
                <w:rFonts w:ascii="Times New Roman" w:hAnsi="Times New Roman"/>
                <w:sz w:val="24"/>
              </w:rPr>
              <w:t>11</w:t>
            </w:r>
          </w:p>
        </w:tc>
        <w:tc>
          <w:tcPr>
            <w:tcW w:type="dxa" w:w="1174"/>
          </w:tcPr>
          <w:p>
            <w:r>
              <w:rPr>
                <w:rFonts w:ascii="Times New Roman" w:hAnsi="Times New Roman"/>
                <w:sz w:val="24"/>
              </w:rPr>
              <w:t>20-21</w:t>
            </w:r>
          </w:p>
        </w:tc>
        <w:tc>
          <w:tcPr>
            <w:tcW w:type="dxa" w:w="1174"/>
          </w:tcPr>
          <w:p>
            <w:r>
              <w:rPr>
                <w:rFonts w:ascii="Times New Roman" w:hAnsi="Times New Roman"/>
                <w:sz w:val="24"/>
              </w:rPr>
              <w:t>11-14</w:t>
            </w:r>
          </w:p>
        </w:tc>
        <w:tc>
          <w:tcPr>
            <w:tcW w:type="dxa" w:w="1174"/>
          </w:tcPr>
          <w:p>
            <w:r>
              <w:rPr>
                <w:rFonts w:ascii="Times New Roman" w:hAnsi="Times New Roman"/>
                <w:sz w:val="24"/>
              </w:rPr>
              <w:t>12</w:t>
            </w:r>
          </w:p>
        </w:tc>
        <w:tc>
          <w:tcPr>
            <w:tcW w:type="dxa" w:w="1174"/>
          </w:tcPr>
          <w:p>
            <w:r>
              <w:rPr>
                <w:rFonts w:ascii="Times New Roman" w:hAnsi="Times New Roman"/>
                <w:sz w:val="24"/>
              </w:rPr>
              <w:t>7</w:t>
            </w:r>
          </w:p>
        </w:tc>
      </w:tr>
      <w:tr>
        <w:tc>
          <w:tcPr>
            <w:tcW w:type="dxa" w:w="1174"/>
          </w:tcPr>
          <w:p>
            <w:r>
              <w:rPr>
                <w:rFonts w:ascii="Times New Roman" w:hAnsi="Times New Roman"/>
                <w:sz w:val="24"/>
              </w:rPr>
              <w:t>Diz Protezi</w:t>
            </w:r>
          </w:p>
        </w:tc>
        <w:tc>
          <w:tcPr>
            <w:tcW w:type="dxa" w:w="1174"/>
          </w:tcPr>
          <w:p>
            <w:r>
              <w:rPr>
                <w:rFonts w:ascii="Times New Roman" w:hAnsi="Times New Roman"/>
                <w:sz w:val="24"/>
              </w:rPr>
              <w:t>40</w:t>
            </w:r>
          </w:p>
        </w:tc>
        <w:tc>
          <w:tcPr>
            <w:tcW w:type="dxa" w:w="1174"/>
          </w:tcPr>
          <w:p>
            <w:r>
              <w:rPr>
                <w:rFonts w:ascii="Times New Roman" w:hAnsi="Times New Roman"/>
                <w:sz w:val="24"/>
              </w:rPr>
              <w:t>11</w:t>
            </w:r>
          </w:p>
        </w:tc>
        <w:tc>
          <w:tcPr>
            <w:tcW w:type="dxa" w:w="1174"/>
          </w:tcPr>
          <w:p>
            <w:r>
              <w:rPr>
                <w:rFonts w:ascii="Times New Roman" w:hAnsi="Times New Roman"/>
                <w:sz w:val="24"/>
              </w:rPr>
              <w:t>20-21</w:t>
            </w:r>
          </w:p>
        </w:tc>
        <w:tc>
          <w:tcPr>
            <w:tcW w:type="dxa" w:w="1174"/>
          </w:tcPr>
          <w:p>
            <w:r>
              <w:rPr>
                <w:rFonts w:ascii="Times New Roman" w:hAnsi="Times New Roman"/>
                <w:sz w:val="24"/>
              </w:rPr>
              <w:t>11</w:t>
            </w:r>
          </w:p>
        </w:tc>
        <w:tc>
          <w:tcPr>
            <w:tcW w:type="dxa" w:w="1174"/>
          </w:tcPr>
          <w:p>
            <w:r>
              <w:rPr>
                <w:rFonts w:ascii="Times New Roman" w:hAnsi="Times New Roman"/>
                <w:sz w:val="24"/>
              </w:rPr>
              <w:t>12</w:t>
            </w:r>
          </w:p>
        </w:tc>
        <w:tc>
          <w:tcPr>
            <w:tcW w:type="dxa" w:w="1174"/>
          </w:tcPr>
          <w:p>
            <w:r>
              <w:rPr>
                <w:rFonts w:ascii="Times New Roman" w:hAnsi="Times New Roman"/>
                <w:sz w:val="24"/>
              </w:rPr>
              <w:t>8</w:t>
            </w:r>
          </w:p>
        </w:tc>
      </w:tr>
      <w:tr>
        <w:tc>
          <w:tcPr>
            <w:tcW w:type="dxa" w:w="1174"/>
          </w:tcPr>
          <w:p>
            <w:r>
              <w:rPr>
                <w:rFonts w:ascii="Times New Roman" w:hAnsi="Times New Roman"/>
                <w:sz w:val="24"/>
              </w:rPr>
              <w:t>Omurga Füzyonu</w:t>
            </w:r>
          </w:p>
        </w:tc>
        <w:tc>
          <w:tcPr>
            <w:tcW w:type="dxa" w:w="1174"/>
          </w:tcPr>
          <w:p>
            <w:r>
              <w:rPr>
                <w:rFonts w:ascii="Times New Roman" w:hAnsi="Times New Roman"/>
                <w:sz w:val="24"/>
              </w:rPr>
              <w:t>62</w:t>
            </w:r>
          </w:p>
        </w:tc>
        <w:tc>
          <w:tcPr>
            <w:tcW w:type="dxa" w:w="1174"/>
          </w:tcPr>
          <w:p>
            <w:r>
              <w:rPr>
                <w:rFonts w:ascii="Times New Roman" w:hAnsi="Times New Roman"/>
                <w:sz w:val="24"/>
              </w:rPr>
              <w:t>7</w:t>
            </w:r>
          </w:p>
        </w:tc>
        <w:tc>
          <w:tcPr>
            <w:tcW w:type="dxa" w:w="1174"/>
          </w:tcPr>
          <w:p>
            <w:r>
              <w:rPr>
                <w:rFonts w:ascii="Times New Roman" w:hAnsi="Times New Roman"/>
                <w:sz w:val="24"/>
              </w:rPr>
              <w:t>25-26</w:t>
            </w:r>
          </w:p>
        </w:tc>
        <w:tc>
          <w:tcPr>
            <w:tcW w:type="dxa" w:w="1174"/>
          </w:tcPr>
          <w:p>
            <w:r>
              <w:rPr>
                <w:rFonts w:ascii="Times New Roman" w:hAnsi="Times New Roman"/>
                <w:sz w:val="24"/>
              </w:rPr>
              <w:t>7</w:t>
            </w:r>
          </w:p>
        </w:tc>
        <w:tc>
          <w:tcPr>
            <w:tcW w:type="dxa" w:w="1174"/>
          </w:tcPr>
          <w:p>
            <w:r>
              <w:rPr>
                <w:rFonts w:ascii="Times New Roman" w:hAnsi="Times New Roman"/>
                <w:sz w:val="24"/>
              </w:rPr>
              <w:t>14-15</w:t>
            </w:r>
          </w:p>
        </w:tc>
        <w:tc>
          <w:tcPr>
            <w:tcW w:type="dxa" w:w="1174"/>
          </w:tcPr>
          <w:p>
            <w:r>
              <w:rPr>
                <w:rFonts w:ascii="Times New Roman" w:hAnsi="Times New Roman"/>
                <w:sz w:val="24"/>
              </w:rPr>
              <w:t>12</w:t>
            </w:r>
          </w:p>
        </w:tc>
      </w:tr>
      <w:tr>
        <w:tc>
          <w:tcPr>
            <w:tcW w:type="dxa" w:w="1174"/>
          </w:tcPr>
          <w:p>
            <w:r>
              <w:rPr>
                <w:rFonts w:ascii="Times New Roman" w:hAnsi="Times New Roman"/>
                <w:sz w:val="24"/>
              </w:rPr>
              <w:t>Kemik İliği Nakli</w:t>
            </w:r>
          </w:p>
        </w:tc>
        <w:tc>
          <w:tcPr>
            <w:tcW w:type="dxa" w:w="1174"/>
          </w:tcPr>
          <w:p>
            <w:r>
              <w:rPr>
                <w:rFonts w:ascii="Times New Roman" w:hAnsi="Times New Roman"/>
                <w:sz w:val="24"/>
              </w:rPr>
              <w:t>300</w:t>
            </w:r>
          </w:p>
        </w:tc>
        <w:tc>
          <w:tcPr>
            <w:tcW w:type="dxa" w:w="1174"/>
          </w:tcPr>
          <w:p>
            <w:r>
              <w:rPr>
                <w:rFonts w:ascii="Times New Roman" w:hAnsi="Times New Roman"/>
                <w:sz w:val="24"/>
              </w:rPr>
              <w:t>40-70</w:t>
            </w:r>
          </w:p>
        </w:tc>
        <w:tc>
          <w:tcPr>
            <w:tcW w:type="dxa" w:w="1174"/>
          </w:tcPr>
          <w:p>
            <w:r>
              <w:rPr>
                <w:rFonts w:ascii="Times New Roman" w:hAnsi="Times New Roman"/>
                <w:sz w:val="24"/>
              </w:rPr>
              <w:t>250</w:t>
            </w:r>
          </w:p>
        </w:tc>
        <w:tc>
          <w:tcPr>
            <w:tcW w:type="dxa" w:w="1174"/>
          </w:tcPr>
          <w:p>
            <w:r>
              <w:rPr>
                <w:rFonts w:ascii="Times New Roman" w:hAnsi="Times New Roman"/>
                <w:sz w:val="24"/>
              </w:rPr>
              <w:t>50-60</w:t>
            </w:r>
          </w:p>
        </w:tc>
        <w:tc>
          <w:tcPr>
            <w:tcW w:type="dxa" w:w="1174"/>
          </w:tcPr>
          <w:p>
            <w:r>
              <w:rPr>
                <w:rFonts w:ascii="Times New Roman" w:hAnsi="Times New Roman"/>
                <w:sz w:val="24"/>
              </w:rPr>
              <w:t>250</w:t>
            </w:r>
          </w:p>
        </w:tc>
        <w:tc>
          <w:tcPr>
            <w:tcW w:type="dxa" w:w="1174"/>
          </w:tcPr>
          <w:p>
            <w:r>
              <w:rPr>
                <w:rFonts w:ascii="Times New Roman" w:hAnsi="Times New Roman"/>
                <w:sz w:val="24"/>
              </w:rPr>
              <w:t>40</w:t>
            </w:r>
          </w:p>
        </w:tc>
      </w:tr>
    </w:tbl>
    <w:p/>
    <w:p>
      <w:r>
        <w:t>Kaynak: (Omay, 2013, s. 428)'den uyarlanmıştır.</w:t>
      </w:r>
    </w:p>
    <w:p>
      <w:r>
        <w:t>Tablo 1'de görüldüğü gibi, Türkiye hemen hemen tüm kategorilerde ABD ve pek çok Avrupa ülkesine kıyasla belirgin bir maliyet avantajı sunmaktadır. Bu durum, Türkiye'nin pazar payı açısından önemli bir konum elde etmesini sağlamıştır. Dünya Turizm Örgütü verilerine göre Türkiye, 2018 yılında 1,7 milyar dolarlık sağlık turizmi geliriyle ABD ve Fransa'nın ardından dünyada üçüncü sırada yer almıştır (Kuzhan, 2024, s. 37). Ülkeler arasındaki bu fiyat farkları, döviz kuru hareketlerinden de etkilenmektedir. Özellikle yerli paranın yabancı para birimleri karşısında değer kaybetmesi, yabancı hastalar için destinasyonu daha cazip hâle getirmekte ve ülkenin satın alma gücünü artırmaktadır (Sancar, 2025, s. 44; Eryer, 2024, s. 76).</w:t>
      </w:r>
    </w:p>
    <w:p>
      <w:r>
        <w:t>Maliyet tek başına belirleyici bir faktör değildir; hastalar aynı zamanda yüksek kalitede ve güvenilir sağlık hizmeti talep etmektedir. Bu doğrultuda, destinasyonun sahip olduğu teknolojik donanım, hekim kadrosunun yetkinliği ve uluslararası standartlara uygunluk gibi unsurlar öne çıkmaktadır. Gelişmekte olan ülkelerdeki tıbbi müdahalelerin kalitesinin kendi ülkelerindekiyle aynı seviyede olduğuna dair potansiyel ziyaretçileri ikna etme zorluğu, medikal turizmin önündeki temel engellerden biri olarak görülmektedir (İçöz 2009, s. 2267). Bu güven sorununu aşmanın en etkili yollarından biri uluslararası akreditasyondur.</w:t>
      </w:r>
    </w:p>
    <w:p>
      <w:r>
        <w:t>Akreditasyon, bir sağlık kuruluşunun önceden belirlenmiş performans standartlarını karşıladığını doğrulayan bir dış değerlendirme sürecidir (Lunt, 2012, s. 28). ABD merkezli Joint Commission International (JCI) gibi kuruluşlar tarafından verilen akreditasyon belgeleri, hastanelerin kalite ve hasta güvenliği konusundaki taahhütlerini gösteren bir "onay mührü" işlevi görmektedir. Bu belgeler, hastanenin uluslararası pazarlarda tanıtımını kolaylaştırırken hastaların güvenini kazanmada da etkili bir araçtır (Sözeri, 2020, s. 36; Batbaylı, 2021, s. 47). JCI'nın dünya genelinde, çoğunluğu Türkiye, Brezilya ve Suudi Arabistan gibi ülkelerde bulunan 200'den fazla sağlık tesisini akredite etmiş olması, bu standartların küresel yayılımını göstermektedir (İçöz 2009, s. 2267).</w:t>
      </w:r>
    </w:p>
    <w:p>
      <w:r>
        <w:t>Bununla birlikte, akreditasyon süreçlerinin bazı kısıtları bulunmaktadır. Bu süreçler, akreditasyon kuruluşlarının ticari hedeflerinden etkilenebilmekte, daha az gelişmiş ülkelerdeki hastaneler için finansal bir yük oluşturabilmekte ve organ ticareti gibi etik açıdan tartışmalı alanları her zaman ele alamamaktadır (Lunt, 2012, s. 29). Akreditasyona ek olarak, hastane ve hekim seçimi sürecinde kurumun imajı, hekimlerin deneyimi, uzmanlık alanları ve haklarındaki tavsiyeler de belirleyici olmaktadır (Arıkan, 2017, s. 32). Özellikle ağızdan ağıza pazarlama ve hasta tavsiyeleri, bu aşamada kararları olumlu veya olumsuz yönde etkileyebilmektedir (Sözeri, 2020, s. 36).</w:t>
      </w:r>
    </w:p>
    <w:p>
      <w:r>
        <w:t>Özellikle ulusal sağlık sistemlerinin kamu tarafından finanse edildiği ve yoğunluk nedeniyle uzun bekleme listelerinin oluştuğu gelişmiş ülkelerdeki hastalar için sağlık turizmi, tedaviye daha hızlı ulaşma olanağı sunmaktadır. Birleşik Krallık gibi ülkelerde bazı tıbbi tedaviler için bekleme sürelerinin 18 ila 24 aya kadar çıkabilmesi, hastaları yurt dışındaki seçenekleri değerlendirmeye yönelten önemli bir nedendir (Sözeri, 2020, s. 37). Benzer şekilde, bir Batı ülkesinde diz kapağı ameliyatı için 18 ay beklenebilirken, Hindistan gibi bir ülkede bu sürenin en fazla 10 gün olması, hastaların kararını etkileyen somut bir avantajdır (İçöz 2009, s. 2267). Bu durum, bilhassa ortopedi, kalp cerrahisi ve kısırlık tedavisi gibi alanlarda sağlık turizmi talebini artırmıştır.</w:t>
      </w:r>
    </w:p>
    <w:p>
      <w:r>
        <w:t>Yukarıda sıralanan temel etkenlerin yanı sıra, hastaların destinasyon seçimini etkileyen bir dizi tamamlayıcı faktör de bulunmaktadır. Bunlardan biri, tedaviyi bir tatil fırsatıyla birleştirme isteğidir (KOSTAK, 2007, s. 121; Sözeri, 2020, s. 36). Sağlık turizmi paketleri genellikle hastalara ve refakatçilerine, tedavi öncesi veya sonrası dönemde ülkenin turistik ve kültürel zenginliklerini keşfetme imkânı sunar. Bu durum, özellikle Türkiye gibi tarihî ve doğal çekicilikleri zengin ülkeler için bir rekabet avantajı yaratmaktadır (Sancar, 2025, s. 46).</w:t>
      </w:r>
    </w:p>
    <w:p>
      <w:r>
        <w:t>Coğrafi yakınlık ve ulaşım kolaylığı da bir diğer faktördür. Hastalar genellikle kendi ülkelerine yakın ve ulaşımın kolay olduğu destinasyonları tercih etmektedir. Örneğin Ürdün'ün genellikle Orta Doğu'dan, Singapur ve Malezya'nın ise Güneydoğu Asya ülkelerinden hasta çekmesi bu duruma örnektir (Batbaylı, 2021, s. 48). Türkiye için ise Avrupa Birliği ülkeleri, Orta Doğu, Türk Cumhuriyetleri ve özellikle Almanya'da yaşayan Türk vatandaşları (diaspora turizmi) öncelikli pazarlar olarak görülmektedir (BOSTAN, 2016, s. 7; Batbaylı, 2021, s. 48).</w:t>
      </w:r>
    </w:p>
    <w:p>
      <w:r>
        <w:t>Ayrıca, bazı hastalar kendi ülkelerinde yasal olarak kısıtlanmış veya yasaklanmış olan kürtaj ve cinsiyet değişimi gibi operasyonlar için yurt dışına seyahat etmektedir (İçöz 2009, s. 2267). Son olarak, aracı kurumların, seyahat acentelerinin ve dijital platformların rolü de giderek artmaktadır. Bu kurumlar, hastaların uçak bileti, konaklama ve ameliyat masraflarını içeren paket turlar aracılığıyla tedavi süreçlerini organize etmelerini kolaylaştırmaktadır (İçöz 2009, s. 2267).</w:t>
      </w:r>
    </w:p>
    <w:p>
      <w:r>
        <w:t>Sağlık turizmi pazarında rekabet edebilmek için destinasyon ülkelerin ve sağlık kuruluşlarının belirli standartları karşılaması ve kendilerini uluslararası hastalara etkili bir şekilde pazarlaması gerekmektedir. Arz yönlü faktörler; altyapı, insan kaynakları, tanıtım faaliyetleri ve iletişim olanakları gibi unsurları kapsamaktadır.</w:t>
      </w:r>
    </w:p>
    <w:p>
      <w:r>
        <w:t>Sağlık altyapısı, modern hastaneleri, klinikleri, ileri teknolojiye sahip tıbbi cihazları ve devlet ile özel sektör yatırımlarını içerir (Sözeri, 2020, s. 36). Bir ülkenin sağlık turizminde başarılı olabilmesi için dünya standartlarında hizmet sunan tesislere sahip olması büyük önem taşır. Altyapının yanı sıra, bu tesislerde hizmet veren beşeri sermayenin niteliği de belirleyicidir. İyi eğitim almış, alanında uzman ve yabancı dil bilen sağlık personeli, uluslararası hastaların kendilerini güvende hissetmelerini ve iletişim sorunları yaşamamalarını sağlar (Eryer, 2024, s. 73; Batbaylı, 2021, s. 46). Nitekim Hindistan ve Singapur gibi ülkelerde personelin yabancı hastaların dilini konuşabilmesi, bu ülkelerin pazardaki başarısına katkı sağladığı belirtilen bir kolaylıktır (Sözeri, 2020, s. 37).</w:t>
      </w:r>
    </w:p>
    <w:p>
      <w:r>
        <w:t>Tanıtım ve pazarlama faaliyetleri, destinasyonun uluslararası alanda bilinirliğini artırmak için zorunludur. Bu faaliyetler, Sağlık Bakanlığı ve Turizm Bakanlığı gibi kamu kurumları ile hastanelerin ve özel sektör kuruluşlarının yürüttüğü ortak çalışmaları kapsar (BOSTAN, 2016, s. 7). Hedef ülkelere yönelik ulusal kampanyalar, uluslararası fuarlara katılım ve dijital pazarlama stratejileri, potansiyel hastalara ulaşmanın temel yollarıdır. Hastanelerin internet sitelerinde başarı öykülerine ve hasta yorumlarına yer vermesi, güven oluşturma açısından etkili bir yöntem olarak kullanılmaktadır (Sözeri, 2020, s. 36).</w:t>
      </w:r>
    </w:p>
    <w:p>
      <w:r>
        <w:t>Bir destinasyonun sağlık turizmi pazarındaki başarısı, talep ve arz faktörlerinin uyumlu bir bileşimine bağlıdır. Düşük maliyet ve kısa bekleme süreleri gibi talep çekici unsurlar, yüksek kaliteli altyapı, nitelikli insan kaynağı ve uluslararası akreditasyon gibi güven artırıcı arz unsurlarıyla desteklenmelidir. Bu dengeyi kurabilen ülkeler, küresel sağlık turizmi pazarında sürdürülebilir bir rekabet avantajı elde etme potansiyeline sahip olacaktır.</w:t>
      </w:r>
    </w:p>
    <w:p>
      <w:r>
        <w:br w:type="page"/>
      </w:r>
    </w:p>
    <w:p>
      <w:pPr>
        <w:pStyle w:val="Heading1"/>
      </w:pPr>
      <w:bookmarkStart w:id="106" w:name="_Toc_heading_6"/>
      <w:r>
        <w:t>2. İKİNCİ BÖLÜM: DÜNYADA VE TÜRKİYE'DE SAĞLIK TURİZMİNİN GELİŞİMİ</w:t>
      </w:r>
      <w:bookmarkEnd w:id="106"/>
    </w:p>
    <w:p>
      <w:pPr>
        <w:pStyle w:val="Heading2"/>
      </w:pPr>
      <w:bookmarkStart w:id="107" w:name="_Toc_heading_7"/>
      <w:r>
        <w:t>2.1. Dünyada Sağlık Turizminin Genel Durumu ve Gelişimi</w:t>
      </w:r>
      <w:bookmarkEnd w:id="107"/>
    </w:p>
    <w:p>
      <w:r>
        <w:t>Sağlık turizmi, bireylerin sağlıklarını korumak, geliştirmek veya tedavi olmak için yaşadıkları yerden farklı bir yere seyahat etmeleridir (Solak, 2011, s. 9). Bu faaliyet; cerrahi operasyonları içeren medikal turizm, termal ve SPA/wellness turizmi ile yaşlı ve engelli turizmi gibi alt dallardan oluşur (Sancar, 2025, s. 22; Tamer, 2026, s. 2).</w:t>
      </w:r>
    </w:p>
    <w:p>
      <w:r>
        <w:t>2023'te yaklaşık 100 milyar dolarlık hacme ulaştığı tahmin edilen pazarın yıllık ortalama %15 büyüdüğü belirtilmektedir (Tamer, 2026, s. 3). Projeksiyonlar, pazar büyüklüğünün 2025 yılına kadar 35,78 milyar ila 48,53 milyar ABD doları aralığına ulaşacağını öngörmektedir (Sancar, 2025, s. 23). Bu büyüme, hem tıbbi prosedürlere hem de sağlıklı yaşam ve zindelik (wellness) hizmetlerine yönelik artan talebi yansıtır. Nitekim 2024 verilerine göre cerrahi işlemler 28 milyar dolar ile pazarın en büyük payını alırken, onu 12 milyar dolar ile diş sağlığı hizmetleri ve 10 milyar dolar ile üreme sağlığı tedavileri izlemiştir (Sancar, 2025, s. 23). Kültürel turizmden sonra küresel turizm endüstrisindeki en büyük paya sahip olan sağlık turizmi, ülkelerin ekonomik kalkınması için önemli bir potansiyel taşımaktadır (Solak, 2011, s. 7).</w:t>
      </w:r>
    </w:p>
    <w:p>
      <w:r>
        <w:t>Sağlık Turizmini Yönlendiren Temel Etkenler</w:t>
      </w:r>
    </w:p>
    <w:p>
      <w:r>
        <w:t>Bu etkenlerin başında ülkeler arasındaki büyük tedavi maliyeti farkları gelmektedir. Gelişmiş Batı ülkelerindeki yüksek sağlık harcamaları, hastaları daha ekonomik seçenekler sunan ülkelere yöneltmektedir (Tamer, 2026, s. 3). Örneğin Amerika Birleşik Devletleri’nde (ABD) 70.000 dolara mal olan bir çocuk kalp ameliyatının Hindistan’da 4.400 dolara, 123.000 dolarlık bir kalp bypass ameliyatının ise Tayland’da 15.000 dolara yapılabilmesi, maliyet avantajının ne kadar önemli olduğunu göstermektedir (İçöz 2009, s. 9;Sözeri 2020, s. 44). Aşağıdaki tablo, seçilmiş bazı ülkelerdeki tıbbi prosedürlerin karşılaştırmalı maliyetlerini sunmaktadır.</w:t>
      </w:r>
    </w:p>
    <w:tbl>
      <w:tblPr>
        <w:tblStyle w:val="TableGrid"/>
        <w:tblW w:type="auto" w:w="0"/>
        <w:tblLayout w:type="autofit"/>
        <w:tblLook w:firstColumn="1" w:firstRow="1" w:lastColumn="0" w:lastRow="0" w:noHBand="0" w:noVBand="1" w:val="04A0"/>
      </w:tblPr>
      <w:tblGrid>
        <w:gridCol w:w="1174"/>
        <w:gridCol w:w="1174"/>
        <w:gridCol w:w="1174"/>
        <w:gridCol w:w="1174"/>
        <w:gridCol w:w="1174"/>
        <w:gridCol w:w="1174"/>
        <w:gridCol w:w="1174"/>
      </w:tblGrid>
      <w:tr>
        <w:tc>
          <w:tcPr>
            <w:tcW w:type="dxa" w:w="1174"/>
          </w:tcPr>
          <w:p>
            <w:r>
              <w:rPr>
                <w:rFonts w:ascii="Times New Roman" w:hAnsi="Times New Roman"/>
                <w:b/>
                <w:sz w:val="24"/>
              </w:rPr>
              <w:t>Sağlık İşlemi</w:t>
            </w:r>
          </w:p>
        </w:tc>
        <w:tc>
          <w:tcPr>
            <w:tcW w:type="dxa" w:w="1174"/>
          </w:tcPr>
          <w:p>
            <w:r>
              <w:rPr>
                <w:rFonts w:ascii="Times New Roman" w:hAnsi="Times New Roman"/>
                <w:b/>
                <w:sz w:val="24"/>
              </w:rPr>
              <w:t>ABD</w:t>
            </w:r>
          </w:p>
        </w:tc>
        <w:tc>
          <w:tcPr>
            <w:tcW w:type="dxa" w:w="1174"/>
          </w:tcPr>
          <w:p>
            <w:r>
              <w:rPr>
                <w:rFonts w:ascii="Times New Roman" w:hAnsi="Times New Roman"/>
                <w:b/>
                <w:sz w:val="24"/>
              </w:rPr>
              <w:t>Hindistan</w:t>
            </w:r>
          </w:p>
        </w:tc>
        <w:tc>
          <w:tcPr>
            <w:tcW w:type="dxa" w:w="1174"/>
          </w:tcPr>
          <w:p>
            <w:r>
              <w:rPr>
                <w:rFonts w:ascii="Times New Roman" w:hAnsi="Times New Roman"/>
                <w:b/>
                <w:sz w:val="24"/>
              </w:rPr>
              <w:t>Tayland</w:t>
            </w:r>
          </w:p>
        </w:tc>
        <w:tc>
          <w:tcPr>
            <w:tcW w:type="dxa" w:w="1174"/>
          </w:tcPr>
          <w:p>
            <w:r>
              <w:rPr>
                <w:rFonts w:ascii="Times New Roman" w:hAnsi="Times New Roman"/>
                <w:b/>
                <w:sz w:val="24"/>
              </w:rPr>
              <w:t>Malezya</w:t>
            </w:r>
          </w:p>
        </w:tc>
        <w:tc>
          <w:tcPr>
            <w:tcW w:type="dxa" w:w="1174"/>
          </w:tcPr>
          <w:p>
            <w:r>
              <w:rPr>
                <w:rFonts w:ascii="Times New Roman" w:hAnsi="Times New Roman"/>
                <w:b/>
                <w:sz w:val="24"/>
              </w:rPr>
              <w:t>Singapur</w:t>
            </w:r>
          </w:p>
        </w:tc>
        <w:tc>
          <w:tcPr>
            <w:tcW w:type="dxa" w:w="1174"/>
          </w:tcPr>
          <w:p>
            <w:r>
              <w:rPr>
                <w:rFonts w:ascii="Times New Roman" w:hAnsi="Times New Roman"/>
                <w:b/>
                <w:sz w:val="24"/>
              </w:rPr>
              <w:t>Türkiye</w:t>
            </w:r>
          </w:p>
        </w:tc>
      </w:tr>
      <w:tr>
        <w:tc>
          <w:tcPr>
            <w:tcW w:type="dxa" w:w="1174"/>
          </w:tcPr>
          <w:p>
            <w:r>
              <w:rPr>
                <w:rFonts w:ascii="Times New Roman" w:hAnsi="Times New Roman"/>
                <w:sz w:val="24"/>
              </w:rPr>
              <w:t>Kalp Bypass</w:t>
            </w:r>
          </w:p>
        </w:tc>
        <w:tc>
          <w:tcPr>
            <w:tcW w:type="dxa" w:w="1174"/>
          </w:tcPr>
          <w:p>
            <w:r>
              <w:rPr>
                <w:rFonts w:ascii="Times New Roman" w:hAnsi="Times New Roman"/>
                <w:sz w:val="24"/>
              </w:rPr>
              <w:t>123.000</w:t>
            </w:r>
          </w:p>
        </w:tc>
        <w:tc>
          <w:tcPr>
            <w:tcW w:type="dxa" w:w="1174"/>
          </w:tcPr>
          <w:p>
            <w:r>
              <w:rPr>
                <w:rFonts w:ascii="Times New Roman" w:hAnsi="Times New Roman"/>
                <w:sz w:val="24"/>
              </w:rPr>
              <w:t>7.900</w:t>
            </w:r>
          </w:p>
        </w:tc>
        <w:tc>
          <w:tcPr>
            <w:tcW w:type="dxa" w:w="1174"/>
          </w:tcPr>
          <w:p>
            <w:r>
              <w:rPr>
                <w:rFonts w:ascii="Times New Roman" w:hAnsi="Times New Roman"/>
                <w:sz w:val="24"/>
              </w:rPr>
              <w:t>15.000</w:t>
            </w:r>
          </w:p>
        </w:tc>
        <w:tc>
          <w:tcPr>
            <w:tcW w:type="dxa" w:w="1174"/>
          </w:tcPr>
          <w:p>
            <w:r>
              <w:rPr>
                <w:rFonts w:ascii="Times New Roman" w:hAnsi="Times New Roman"/>
                <w:sz w:val="24"/>
              </w:rPr>
              <w:t>12.100</w:t>
            </w:r>
          </w:p>
        </w:tc>
        <w:tc>
          <w:tcPr>
            <w:tcW w:type="dxa" w:w="1174"/>
          </w:tcPr>
          <w:p>
            <w:r>
              <w:rPr>
                <w:rFonts w:ascii="Times New Roman" w:hAnsi="Times New Roman"/>
                <w:sz w:val="24"/>
              </w:rPr>
              <w:t>17.200</w:t>
            </w:r>
          </w:p>
        </w:tc>
        <w:tc>
          <w:tcPr>
            <w:tcW w:type="dxa" w:w="1174"/>
          </w:tcPr>
          <w:p>
            <w:r>
              <w:rPr>
                <w:rFonts w:ascii="Times New Roman" w:hAnsi="Times New Roman"/>
                <w:sz w:val="24"/>
              </w:rPr>
              <w:t>13.900</w:t>
            </w:r>
          </w:p>
        </w:tc>
      </w:tr>
      <w:tr>
        <w:tc>
          <w:tcPr>
            <w:tcW w:type="dxa" w:w="1174"/>
          </w:tcPr>
          <w:p>
            <w:r>
              <w:rPr>
                <w:rFonts w:ascii="Times New Roman" w:hAnsi="Times New Roman"/>
                <w:sz w:val="24"/>
              </w:rPr>
              <w:t>Kalp Kapağı Değişikliği</w:t>
            </w:r>
          </w:p>
        </w:tc>
        <w:tc>
          <w:tcPr>
            <w:tcW w:type="dxa" w:w="1174"/>
          </w:tcPr>
          <w:p>
            <w:r>
              <w:rPr>
                <w:rFonts w:ascii="Times New Roman" w:hAnsi="Times New Roman"/>
                <w:sz w:val="24"/>
              </w:rPr>
              <w:t>170.000</w:t>
            </w:r>
          </w:p>
        </w:tc>
        <w:tc>
          <w:tcPr>
            <w:tcW w:type="dxa" w:w="1174"/>
          </w:tcPr>
          <w:p>
            <w:r>
              <w:rPr>
                <w:rFonts w:ascii="Times New Roman" w:hAnsi="Times New Roman"/>
                <w:sz w:val="24"/>
              </w:rPr>
              <w:t>9.500</w:t>
            </w:r>
          </w:p>
        </w:tc>
        <w:tc>
          <w:tcPr>
            <w:tcW w:type="dxa" w:w="1174"/>
          </w:tcPr>
          <w:p>
            <w:r>
              <w:rPr>
                <w:rFonts w:ascii="Times New Roman" w:hAnsi="Times New Roman"/>
                <w:sz w:val="24"/>
              </w:rPr>
              <w:t>17.200</w:t>
            </w:r>
          </w:p>
        </w:tc>
        <w:tc>
          <w:tcPr>
            <w:tcW w:type="dxa" w:w="1174"/>
          </w:tcPr>
          <w:p>
            <w:r>
              <w:rPr>
                <w:rFonts w:ascii="Times New Roman" w:hAnsi="Times New Roman"/>
                <w:sz w:val="24"/>
              </w:rPr>
              <w:t>13.500</w:t>
            </w:r>
          </w:p>
        </w:tc>
        <w:tc>
          <w:tcPr>
            <w:tcW w:type="dxa" w:w="1174"/>
          </w:tcPr>
          <w:p>
            <w:r>
              <w:rPr>
                <w:rFonts w:ascii="Times New Roman" w:hAnsi="Times New Roman"/>
                <w:sz w:val="24"/>
              </w:rPr>
              <w:t>16.900</w:t>
            </w:r>
          </w:p>
        </w:tc>
        <w:tc>
          <w:tcPr>
            <w:tcW w:type="dxa" w:w="1174"/>
          </w:tcPr>
          <w:p>
            <w:r>
              <w:rPr>
                <w:rFonts w:ascii="Times New Roman" w:hAnsi="Times New Roman"/>
                <w:sz w:val="24"/>
              </w:rPr>
              <w:t>17.200</w:t>
            </w:r>
          </w:p>
        </w:tc>
      </w:tr>
      <w:tr>
        <w:tc>
          <w:tcPr>
            <w:tcW w:type="dxa" w:w="1174"/>
          </w:tcPr>
          <w:p>
            <w:r>
              <w:rPr>
                <w:rFonts w:ascii="Times New Roman" w:hAnsi="Times New Roman"/>
                <w:sz w:val="24"/>
              </w:rPr>
              <w:t>Diz Protezi</w:t>
            </w:r>
          </w:p>
        </w:tc>
        <w:tc>
          <w:tcPr>
            <w:tcW w:type="dxa" w:w="1174"/>
          </w:tcPr>
          <w:p>
            <w:r>
              <w:rPr>
                <w:rFonts w:ascii="Times New Roman" w:hAnsi="Times New Roman"/>
                <w:sz w:val="24"/>
              </w:rPr>
              <w:t>35.000</w:t>
            </w:r>
          </w:p>
        </w:tc>
        <w:tc>
          <w:tcPr>
            <w:tcW w:type="dxa" w:w="1174"/>
          </w:tcPr>
          <w:p>
            <w:r>
              <w:rPr>
                <w:rFonts w:ascii="Times New Roman" w:hAnsi="Times New Roman"/>
                <w:sz w:val="24"/>
              </w:rPr>
              <w:t>6.600</w:t>
            </w:r>
          </w:p>
        </w:tc>
        <w:tc>
          <w:tcPr>
            <w:tcW w:type="dxa" w:w="1174"/>
          </w:tcPr>
          <w:p>
            <w:r>
              <w:rPr>
                <w:rFonts w:ascii="Times New Roman" w:hAnsi="Times New Roman"/>
                <w:sz w:val="24"/>
              </w:rPr>
              <w:t>14.000</w:t>
            </w:r>
          </w:p>
        </w:tc>
        <w:tc>
          <w:tcPr>
            <w:tcW w:type="dxa" w:w="1174"/>
          </w:tcPr>
          <w:p>
            <w:r>
              <w:rPr>
                <w:rFonts w:ascii="Times New Roman" w:hAnsi="Times New Roman"/>
                <w:sz w:val="24"/>
              </w:rPr>
              <w:t>7.700</w:t>
            </w:r>
          </w:p>
        </w:tc>
        <w:tc>
          <w:tcPr>
            <w:tcW w:type="dxa" w:w="1174"/>
          </w:tcPr>
          <w:p>
            <w:r>
              <w:rPr>
                <w:rFonts w:ascii="Times New Roman" w:hAnsi="Times New Roman"/>
                <w:sz w:val="24"/>
              </w:rPr>
              <w:t>16.000</w:t>
            </w:r>
          </w:p>
        </w:tc>
        <w:tc>
          <w:tcPr>
            <w:tcW w:type="dxa" w:w="1174"/>
          </w:tcPr>
          <w:p>
            <w:r>
              <w:rPr>
                <w:rFonts w:ascii="Times New Roman" w:hAnsi="Times New Roman"/>
                <w:sz w:val="24"/>
              </w:rPr>
              <w:t>10.400</w:t>
            </w:r>
          </w:p>
        </w:tc>
      </w:tr>
      <w:tr>
        <w:tc>
          <w:tcPr>
            <w:tcW w:type="dxa" w:w="1174"/>
          </w:tcPr>
          <w:p>
            <w:r>
              <w:rPr>
                <w:rFonts w:ascii="Times New Roman" w:hAnsi="Times New Roman"/>
                <w:sz w:val="24"/>
              </w:rPr>
              <w:t>Diş İmplantı</w:t>
            </w:r>
          </w:p>
        </w:tc>
        <w:tc>
          <w:tcPr>
            <w:tcW w:type="dxa" w:w="1174"/>
          </w:tcPr>
          <w:p>
            <w:r>
              <w:rPr>
                <w:rFonts w:ascii="Times New Roman" w:hAnsi="Times New Roman"/>
                <w:sz w:val="24"/>
              </w:rPr>
              <w:t>2.500</w:t>
            </w:r>
          </w:p>
        </w:tc>
        <w:tc>
          <w:tcPr>
            <w:tcW w:type="dxa" w:w="1174"/>
          </w:tcPr>
          <w:p>
            <w:r>
              <w:rPr>
                <w:rFonts w:ascii="Times New Roman" w:hAnsi="Times New Roman"/>
                <w:sz w:val="24"/>
              </w:rPr>
              <w:t>900</w:t>
            </w:r>
          </w:p>
        </w:tc>
        <w:tc>
          <w:tcPr>
            <w:tcW w:type="dxa" w:w="1174"/>
          </w:tcPr>
          <w:p>
            <w:r>
              <w:rPr>
                <w:rFonts w:ascii="Times New Roman" w:hAnsi="Times New Roman"/>
                <w:sz w:val="24"/>
              </w:rPr>
              <w:t>1.720</w:t>
            </w:r>
          </w:p>
        </w:tc>
        <w:tc>
          <w:tcPr>
            <w:tcW w:type="dxa" w:w="1174"/>
          </w:tcPr>
          <w:p>
            <w:r>
              <w:rPr>
                <w:rFonts w:ascii="Times New Roman" w:hAnsi="Times New Roman"/>
                <w:sz w:val="24"/>
              </w:rPr>
              <w:t>1.500</w:t>
            </w:r>
          </w:p>
        </w:tc>
        <w:tc>
          <w:tcPr>
            <w:tcW w:type="dxa" w:w="1174"/>
          </w:tcPr>
          <w:p>
            <w:r>
              <w:rPr>
                <w:rFonts w:ascii="Times New Roman" w:hAnsi="Times New Roman"/>
                <w:sz w:val="24"/>
              </w:rPr>
              <w:t>2.700</w:t>
            </w:r>
          </w:p>
        </w:tc>
        <w:tc>
          <w:tcPr>
            <w:tcW w:type="dxa" w:w="1174"/>
          </w:tcPr>
          <w:p>
            <w:r>
              <w:rPr>
                <w:rFonts w:ascii="Times New Roman" w:hAnsi="Times New Roman"/>
                <w:sz w:val="24"/>
              </w:rPr>
              <w:t>1.100</w:t>
            </w:r>
          </w:p>
        </w:tc>
      </w:tr>
      <w:tr>
        <w:tc>
          <w:tcPr>
            <w:tcW w:type="dxa" w:w="1174"/>
          </w:tcPr>
          <w:p>
            <w:r>
              <w:rPr>
                <w:rFonts w:ascii="Times New Roman" w:hAnsi="Times New Roman"/>
                <w:sz w:val="24"/>
              </w:rPr>
              <w:t>Rinoplasti</w:t>
            </w:r>
          </w:p>
        </w:tc>
        <w:tc>
          <w:tcPr>
            <w:tcW w:type="dxa" w:w="1174"/>
          </w:tcPr>
          <w:p>
            <w:r>
              <w:rPr>
                <w:rFonts w:ascii="Times New Roman" w:hAnsi="Times New Roman"/>
                <w:sz w:val="24"/>
              </w:rPr>
              <w:t>6.500</w:t>
            </w:r>
          </w:p>
        </w:tc>
        <w:tc>
          <w:tcPr>
            <w:tcW w:type="dxa" w:w="1174"/>
          </w:tcPr>
          <w:p>
            <w:r>
              <w:rPr>
                <w:rFonts w:ascii="Times New Roman" w:hAnsi="Times New Roman"/>
                <w:sz w:val="24"/>
              </w:rPr>
              <w:t>2.400</w:t>
            </w:r>
          </w:p>
        </w:tc>
        <w:tc>
          <w:tcPr>
            <w:tcW w:type="dxa" w:w="1174"/>
          </w:tcPr>
          <w:p>
            <w:r>
              <w:rPr>
                <w:rFonts w:ascii="Times New Roman" w:hAnsi="Times New Roman"/>
                <w:sz w:val="24"/>
              </w:rPr>
              <w:t>3.300</w:t>
            </w:r>
          </w:p>
        </w:tc>
        <w:tc>
          <w:tcPr>
            <w:tcW w:type="dxa" w:w="1174"/>
          </w:tcPr>
          <w:p>
            <w:r>
              <w:rPr>
                <w:rFonts w:ascii="Times New Roman" w:hAnsi="Times New Roman"/>
                <w:sz w:val="24"/>
              </w:rPr>
              <w:t>2.200</w:t>
            </w:r>
          </w:p>
        </w:tc>
        <w:tc>
          <w:tcPr>
            <w:tcW w:type="dxa" w:w="1174"/>
          </w:tcPr>
          <w:p>
            <w:r>
              <w:rPr>
                <w:rFonts w:ascii="Times New Roman" w:hAnsi="Times New Roman"/>
                <w:sz w:val="24"/>
              </w:rPr>
              <w:t>2.200</w:t>
            </w:r>
          </w:p>
        </w:tc>
        <w:tc>
          <w:tcPr>
            <w:tcW w:type="dxa" w:w="1174"/>
          </w:tcPr>
          <w:p>
            <w:r>
              <w:rPr>
                <w:rFonts w:ascii="Times New Roman" w:hAnsi="Times New Roman"/>
                <w:sz w:val="24"/>
              </w:rPr>
              <w:t>3.100</w:t>
            </w:r>
          </w:p>
        </w:tc>
      </w:tr>
      <w:tr>
        <w:tc>
          <w:tcPr>
            <w:tcW w:type="dxa" w:w="1174"/>
          </w:tcPr>
          <w:p>
            <w:r>
              <w:rPr>
                <w:rFonts w:ascii="Times New Roman" w:hAnsi="Times New Roman"/>
                <w:sz w:val="24"/>
              </w:rPr>
              <w:t>Meme İmplantı</w:t>
            </w:r>
          </w:p>
        </w:tc>
        <w:tc>
          <w:tcPr>
            <w:tcW w:type="dxa" w:w="1174"/>
          </w:tcPr>
          <w:p>
            <w:r>
              <w:rPr>
                <w:rFonts w:ascii="Times New Roman" w:hAnsi="Times New Roman"/>
                <w:sz w:val="24"/>
              </w:rPr>
              <w:t>6.400</w:t>
            </w:r>
          </w:p>
        </w:tc>
        <w:tc>
          <w:tcPr>
            <w:tcW w:type="dxa" w:w="1174"/>
          </w:tcPr>
          <w:p>
            <w:r>
              <w:rPr>
                <w:rFonts w:ascii="Times New Roman" w:hAnsi="Times New Roman"/>
                <w:sz w:val="24"/>
              </w:rPr>
              <w:t>3.000</w:t>
            </w:r>
          </w:p>
        </w:tc>
        <w:tc>
          <w:tcPr>
            <w:tcW w:type="dxa" w:w="1174"/>
          </w:tcPr>
          <w:p>
            <w:r>
              <w:rPr>
                <w:rFonts w:ascii="Times New Roman" w:hAnsi="Times New Roman"/>
                <w:sz w:val="24"/>
              </w:rPr>
              <w:t>3.500</w:t>
            </w:r>
          </w:p>
        </w:tc>
        <w:tc>
          <w:tcPr>
            <w:tcW w:type="dxa" w:w="1174"/>
          </w:tcPr>
          <w:p>
            <w:r>
              <w:rPr>
                <w:rFonts w:ascii="Times New Roman" w:hAnsi="Times New Roman"/>
                <w:sz w:val="24"/>
              </w:rPr>
              <w:t>3.800</w:t>
            </w:r>
          </w:p>
        </w:tc>
        <w:tc>
          <w:tcPr>
            <w:tcW w:type="dxa" w:w="1174"/>
          </w:tcPr>
          <w:p>
            <w:r>
              <w:rPr>
                <w:rFonts w:ascii="Times New Roman" w:hAnsi="Times New Roman"/>
                <w:sz w:val="24"/>
              </w:rPr>
              <w:t>8.400</w:t>
            </w:r>
          </w:p>
        </w:tc>
        <w:tc>
          <w:tcPr>
            <w:tcW w:type="dxa" w:w="1174"/>
          </w:tcPr>
          <w:p>
            <w:r>
              <w:rPr>
                <w:rFonts w:ascii="Times New Roman" w:hAnsi="Times New Roman"/>
                <w:sz w:val="24"/>
              </w:rPr>
              <w:t>4.500</w:t>
            </w:r>
          </w:p>
        </w:tc>
      </w:tr>
    </w:tbl>
    <w:p/>
    <w:p>
      <w:r>
        <w:t>Kaynak: Sözeri (2020, s. 44) ve KOSTAK (2007, s. 132) verilerinden derlenerek hazırlanmıştır.</w:t>
      </w:r>
    </w:p>
    <w:p>
      <w:r>
        <w:t>Maliyet avantajına ek olarak, uzun bekleme süreleri de hastaları yurt dışında tedavi aramaya iten bir diğer önemli faktördür. Özellikle İngiltere, Hollanda ve Danimarka gibi ülkelerde bazı cerrahi operasyonlar için bekleme süreleri bir yılı aşabilmektedir (KOSTAK, 2007, s. 134). Örneğin İngiltere’de bir fıtık onarımı için bekleme süresi 755 güne ulaşabilirken, Hindistan’da diz kapağı ameliyatı için bu sürenin en fazla 10 gün olduğu bildirilmiştir (KOSTAK 2007, s. 134;İçöz 2009, s. 9). Dolayısıyla hastalar, tedaviye daha hızlı erişim sağlayan destinasyonları tercih etmektedir. Nitekim 2006 verilerine göre sadece İngiltere’den 50.000 hasta tedavi amacıyla yurt dışına seyahat etmiştir (KOSTAK, 2007, s. 134).</w:t>
      </w:r>
    </w:p>
    <w:p>
      <w:r>
        <w:t>Ayrıca, estetik cerrahi veya diş tedavisi gibi bazı işlemlerin ulusal sağlık sigortası kapsamı dışında olması da bireyleri daha uygun maliyetli hizmetler için yurt dışına yöneltmektedir (İçöz 2009, s. 9). İnternetin yaygınlaşmasıyla hastaların farklı ülkelerdeki tedavi olanakları, hizmet kalitesi ve maliyetler hakkında bilgi edinmesi kolaylaşmış, bu da bilinçli bir tüketici kitlesi yaratarak uluslararası hasta hareketliliğini hızlandırmıştır (KOSTAK, 2007, s. 131; Lunt, 2012, s. 9).</w:t>
      </w:r>
    </w:p>
    <w:p>
      <w:r>
        <w:t>Küresel Sağlık Turizmi Pazarında Önde Gelen Destinasyonlar</w:t>
      </w:r>
    </w:p>
    <w:p>
      <w:r>
        <w:t>Sağlık turizmi pazarında talep yoğunlukla Kuzey Amerika, Batı Avrupa ve Orta Doğu’dan gelirken, hizmet arzında Asya kıtası açık ara liderdir (İçöz 2009, s. 7). Yılda 1,3 milyondan fazla medikal turist çeken ve 2024 yılı itibarıyla 18 milyar dolarlık pazar büyüklüğüne ulaşan Asya-Pasifik bölgesi, küresel sağlık turizminin merkezi olarak kabul edilmektedir (İçöz 2009, s. 7;Sancar 2025, s. 23).</w:t>
      </w:r>
    </w:p>
    <w:p>
      <w:r>
        <w:t>Hindistan; düşük maliyetleri, ileri teknolojiye sahip hastaneleri ve iyi eğitimli, İngilizce konuşan sağlık personeliyle küresel sağlık turizminin önde gelen merkezlerinden biri olmuştur (İçöz 2009, s. 8;BATBAYLI 2021, s. 105). Bu doğrultuda geliştirilen "Medikal Vize" (M-Vize) uygulaması, hastalara ve refakatçilerine tedavi süresince üç yıla kadar ülkede kalma hakkı tanır (Sözeri, 2020, s. 41; BATBAYLI, 2021, s. 106). Kardiyoloji, organ nakli, ortopedik cerrahi ve diş tedavileri gibi alanlarda hizmet sunan Hindistan, 2004’te 333 milyon dolar olan sağlık turizmi gelirini artırmış ve 2024’te 2,1 milyon sağlık turisti çekmiştir (KOSTAK, 2007, s. 135; Sancar, 2025, s. 23). Ülkenin JCI (Joint Commission International) tarafından akredite edilmiş 36 hastanesi bulunmakla birlikte, ulaşım altyapısı ve hijyen standartlarındaki eksiklikler zayıf yönleridir (BATBAYLI, 2021, s. 106).</w:t>
      </w:r>
    </w:p>
    <w:p>
      <w:r>
        <w:t>Tayland, sağlık turizmi faaliyetlerine 1970'lerde cinsiyet değiştirme operasyonları ile başlamış, zamanla bu faaliyetlerini estetik cerrahi başta olmak üzere geniş bir alana yaymıştır (İçöz 2009, s. 8). Ülkenin temel rekabet avantajı, kaliteli sağlık hizmetlerini turistik deneyimlerle birleştiren cazip paket turlar sunmasıdır (Sözeri, 2020, s. 42). Örneğin, Bangkok'taki Bumrungrad Hastanesi'nde ABD sertifikalı 200 cerrah görev yapmakta ve hastane yalnızca 2005 yılında 55.000 Amerikalı hastaya hizmet vermiştir (İçöz 2009, s. 8). JCI akreditasyonuna sahip 61 hastanesiyle dünyada dördüncü sırada yer alan Tayland, "Thailand Wellness Sandbox" gibi devlet teşvik programlarıyla pazardaki konumunu güçlendirmektedir (BATBAYLI, 2021, s. 105; Tamer, 2026, s. 4).</w:t>
      </w:r>
    </w:p>
    <w:p>
      <w:r>
        <w:t>Singapur, pazarda kendini Hindistan ve Tayland gibi rakiplerinden farklı konumlandırmıştır. Ülke, düşük maliyet yerine yüksek hizmet kalitesi, güvenilirlik ve uluslararası akreditasyonlu sağlık kuruluşlarıyla ayrışmaktadır (Sözeri, 2020, s. 42). Kök hücre tedavisi, nöroloji ve onkoloji gibi ileri teknoloji gerektiren alanlardaki yatırımlarıyla tanınan Singapur, 2005 yılında 374.000 yabancı hastayı tedavi etmiştir (BATBAYLI, 2021, s. 107; KOSTAK, 2007, s. 135). Asya'daki diğer destinasyonlara göre maliyetleri daha yüksek olsa da ABD ve Avrupa'ya kıyasla fiyat avantajı sunması sayesinde belirli bir hasta kitlesini çekmektedir (Sözeri, 2020, s. 42).</w:t>
      </w:r>
    </w:p>
    <w:p>
      <w:r>
        <w:t>Malezya, 1998 Asya Mali Krizi sonrasında sağlık turizmini ekonomik bir çıkış stratejisi olarak benimsemiş ve bu alanda önemli adımlar atmıştır (Sözeri, 2020, s. 42). Hükümetin 2009 yılında kurduğu Malezya Sağlık Seyahat Birliği (MHTC), ülkenin tanıtımını yapmakta ve özel sektörle işbirliği içinde sağlık turizmi paketleri geliştirmektedir. İslami referansları sayesinde ülke, özellikle Endonezya ve Körfez ülkeleri gibi Müslüman coğrafyalardan gelen hastalar için birincil destinasyondur (İçöz 2009, s. 7;BATBAYLI 2021, s. 107). Vize kolaylıkları, kanser, ortopedi ve kısırlık gibi alanlardaki tedaviler ve geleneksel tıp hizmetleri Malezya'nın çekiciliğini artırmaktadır (Sözeri, 2020, s. 42; BATBAYLI, 2021, s. 108).</w:t>
      </w:r>
    </w:p>
    <w:p>
      <w:r>
        <w:t>Asya dışındaki bölgelerde Latin Amerika öne çıkmaktadır. Meksika, Kosta Rika, Brezilya ve Arjantin, özellikle ABD'li hastalar için diş ve estetik cerrahi operasyonlarında popüler destinasyonlardır (Sözeri, 2020, s. 43; KOSTAK, 2007, s. 132). Doğu Avrupa'da ise Macaristan ve Polonya, Batı Avrupalı hastalar için diş tedavilerinde uzmanlaşmıştır (KOSTAK, 2007, s. 135). Amerika Birleşik Devletleri ise ikili bir role sahiptir: İleri teknoloji ve uzmanlık gerektiren tedaviler için dünyanın dört bir yanından varlıklı hastaları çekerken, yüksek maliyetler nedeniyle kendi vatandaşlarını Meksika gibi daha ucuz ülkelere kaptırmaktadır (BATBAYLI, 2021, s. 108; Sözeri, 2020, s. 43).</w:t>
      </w:r>
    </w:p>
    <w:p>
      <w:r>
        <w:t>Küresel Eğilimler ve Gelecek Perspektifi</w:t>
      </w:r>
    </w:p>
    <w:p>
      <w:r>
        <w:t>Bu alandaki en belirgin eğilimlerden biri, dijitalleşme ve uzaktan sağlık (tele-tıp) uygulamalarının yaygınlaşmasıdır. Hastalar artık seyahat etmeden önce farklı ülkelerdeki uzmanlarla çevrim içi görüşmeler yaparak tedavi süreçlerini planlayabilmekte ve tedavi sonrası takip hizmetlerinden uzaktan faydalanabilmektedir (Sancar, 2025, s. 23; Tamer, 2026, s. 4). Bu durum hasta güvenini artırırken karar verme süreçlerini de kolaylaştırmaktadır.</w:t>
      </w:r>
    </w:p>
    <w:p>
      <w:r>
        <w:t>Diğer bir önemli eğilim ise bütünleşik ve kişiselleştirilmiş hizmet anlayışının yaygınlaşmasıdır. Hastalar artık hem tıbbi tedaviyi hem de konaklama, ulaşım, tercümanlık hizmetleri ve turistik aktiviteleri içeren kapsamlı paketler talep etmektedir (Sancar, 2025, s. 22). Bu doğrultuda, hastane zincirleri ile turizm endüstrisinin (havayolları, oteller, seyahat acenteleri) giderek daha fazla bütünleştiği gözlemlenmektedir (İçöz 2009, s. 8).</w:t>
      </w:r>
    </w:p>
    <w:p>
      <w:r>
        <w:t>Hizmet kalitesinin ve güvenliğin belgelenmesi, pazarda rekabet edebilmek için vazgeçilmez bir unsur hâline gelmiştir. Bu kapsamda, JCI gibi uluslararası akreditasyon kuruluşlarının standartlarına sahip olmak, bir sağlık kuruluşunun uluslararası tanınırlığı ve hasta çekme potansiyeli açısından belirleyicidir (KOSTAK, 2007, s. 135; Tamer, 2026, s. 3). Akreditasyon, sağlık kuruluşlarının hem hizmet kalitesini artırmasına olanak tanımakta hem de toplumdaki imajını güçlendirmektedir (KOSTAK, 2007, s. 136).</w:t>
      </w:r>
    </w:p>
    <w:p>
      <w:r>
        <w:t>Son olarak pazarın çeşitlenmesi ve yeni aktörlerin ortaya çıkışı da önemli bir gelişmedir. Geleneksel olarak tıbbi tedavilere odaklanan pazar, COVID-19 pandemisi sonrasında zindelik (wellness), ruh-beden sağlığı ve sağlıklı yaşam tarzına yönelik hizmetleri de kapsayacak şekilde genişlemiştir (Tamer, 2026, s. 4; Solak, 2011, s. 7). Buna ek olarak, Suudi Arabistan gibi Orta Doğu ülkeleri, sağlık altyapılarına yaptıkları milyarlarca dolarlık yatırımlarla küresel pazarda rekabetçi bir konuma gelmeyi hedeflemektedir (Sancar, 2025, s. 23). Bu gelişmeler, küresel sağlık turizmi pazarının dinamik yapısını sürdürerek önümüzdeki yıllarda da büyümeye devam edeceğine işaret etmektedir.</w:t>
      </w:r>
    </w:p>
    <w:p>
      <w:pPr>
        <w:pStyle w:val="Heading2"/>
      </w:pPr>
      <w:bookmarkStart w:id="108" w:name="_Toc_heading_8"/>
      <w:r>
        <w:t>2.2. Türkiye'de Sağlık Turizminin Tarihsel Gelişimi ve Mevcut Durumu</w:t>
      </w:r>
      <w:bookmarkEnd w:id="108"/>
    </w:p>
    <w:p>
      <w:r>
        <w:t>Türkiye’de sağlık turizmi köklü bir geçmişe sahiptir. Ancak bu alan, özellikle 1980'li yıllarda benimsenen ihracata dayalı büyüme stratejisiyle birlikte ekonomik bir unsur olarak değerlendirilmeye başlanmıştır. Bu dönemde turizm sektörünün geneline yönelik teşvikler, ülkenin döviz gelirlerini artırma ve ekonomik yapıyı çeşitlendirme hedefleri doğrultusunda şekillenmiştir (Kuzhan, 2024, s. 34). Sağlık turizmi, bu süreçte hem yüksek katma değerli bir hizmet ihracatı kalemi hem de turizm sektörünü on iki aya yayma potansiyeli taşıyan bir alan olarak görülmüştür (Kuzhan, 2024, s. 35; Coşkun, 2024, s. 74). Türkiye’nin sahip olduğu termal kaynaklar, coğrafi konumu ve sağlık altyapısında son yıllarda kaydedilen gelişmeler, bu alana yönelik devlet politikalarının daha sistematik hâle gelmesini sağlamıştır.</w:t>
      </w:r>
    </w:p>
    <w:p>
      <w:r>
        <w:t>Politika ve Kurumsallaşma Süreci</w:t>
      </w:r>
    </w:p>
    <w:p>
      <w:r>
        <w:t>Türkiye’de sağlık turizminin gelişim süreci, politika ve kurumsallaşma adımları ekseninde dört ana dönemde incelenebilir. Gülenç (2023), bu süreci Cumhuriyet'in ilk yıllarından günümüze uzanan kırılma noktalarıyla açıklamaktadır.</w:t>
      </w:r>
    </w:p>
    <w:p>
      <w:r>
        <w:t>İlk dönem olan 1923-1962 arası, mevcut termal kaynakların modern tesislerle hizmete sunulmasıyla şekillenmiş ve "kaplıca merkezlerinin açılışı" olarak nitelendirilmiştir. Yalova ve Bursa gibi şehirlerdeki termal tesislerin modern otelcilik anlayışıyla hizmete girmesi bu dönemin belirgin özelliğidir (GÜLENÇ, 2023, s. 12).</w:t>
      </w:r>
    </w:p>
    <w:p>
      <w:r>
        <w:t>İkinci dönem, kalkınma planlarının hayata geçtiği 1963-1983 arasını kapsar. Bu evrede "sosyal termalizm" kavramı gündeme gelmiştir. Birinci ve İkinci Beş Yıllık Kalkınma Planları ile termal potansiyeli yüksek şehirlerin belirlenerek imar planlarının hazırlanması ve konaklama imkânlarının artırılması hedeflenmiştir (GÜLENÇ, 2023, s. 12). Bu planlar, Devlet Planlama Teşkilatı tarafından turizmin bölgesel ve zamansal dağılımını dengelemek amacıyla sağlık turizminin bir araç olarak görüldüğünü göstermektedir (Arıkan, 2017, s. 44).</w:t>
      </w:r>
    </w:p>
    <w:p>
      <w:r>
        <w:t>Üçüncü dönem, 1985-2000 yıllarını kapsayan ve 2634 sayılı Turizmi Teşvik Kanunu'nun (1982) etkisiyle şekillenen sağlık turizmine yönelik teşvik politikaları dönemidir. Bu dönemde yatırımcıları sektöre çekmek amacıyla 1993 yılında çıkarılan bir yönetmelikle yasal adımlar atılmış ve geleneksel kaplıca anlayışı, yerini rekreasyonel hizmetler sunan modern tesislere bırakmaya başlamıştır (GÜLENÇ, 2023, s. 12).</w:t>
      </w:r>
    </w:p>
    <w:p>
      <w:r>
        <w:t>Dördüncü ve hâlen devam eden dönem ise 2001 sonrası reform ve eylem planları sürecidir. Bu dönemde sağlık turizminin alt dalları (medikal, termal, ileri yaş ve engelli turizmi) daha belirgin hâle gelmiş ve kapsamlı yasal düzenlemeler yapılmıştır. Tesislerin nitelik ve nicelikleri 2001 tarihli Kaplıcalar Yönetmeliği ile belirlenmiştir (GÜLENÇ, 2023, s. 11). Ardından, Sağlıkta Dönüşüm Programı kapsamında sağlık turizmi faaliyetleri desteklenmiş, bu alandaki işletmelere vergi indirimi gibi teşvikler sağlanmıştır (Arıkan, 2017, s. 45). Kurumsal yapı da bu süreçte güçlendirilmiştir. 663 sayılı Kanun Hükmünde Kararname ile Sağlık Bakanlığı Sağlık Hizmetleri Genel Müdürlüğü bünyesinde, medikal, termal ve ileri yaş turizmi gibi alanları tek elden yönetmek amacıyla Sağlık Turizmi Daire Başkanlığı kurulmuştur (Arıkan, 2017, s. 45; GÜLENÇ, 2023, s. 11).</w:t>
      </w:r>
    </w:p>
    <w:p>
      <w:r>
        <w:t>2017 yılında yayımlanan "Uluslararası Sağlık Turizmi ve Turistin Sağlığı Hakkında Yönetmelik" ile sektörde faaliyet gösterecek sağlık tesisleri ve aracı kuruluşlar için "uluslararası sağlık turizmi yetki belgesi" alınması zorunlu kılınmıştır. Bu adımla hizmet standartlarının denetlenmesi amaçlanmıştır (GÜLENÇ, 2023, s. 11; Batbaylı, 2021, s. 94). Kurumsallaşma sürecindeki bir diğer adım da 2018 yılında Uluslararası Sağlık Hizmetleri A.Ş. (USHAŞ)'nin kurulmasıdır (Solak, 2011, s. 16). USHAŞ, kamu ve özel sektörün sağlık turizmi faaliyetlerini desteklemek, uluslararası tanıtım yapmak ve bu alanda sözleşmeler akdetmek üzere yapılandırılmıştır. Kurum, Türkiye’nin sağlık hizmetlerinin uluslararası alanda tanıtımını koordine etmek, aracı kurumlara yetki belgesi vermek, uluslararası hastaların başvurularını yönetmek ve yaşanabilecek anlaşmazlıkların çözümüne destek olmak gibi görevler üstlenmiştir (Solak, 2011, s. 16; Batbaylı, 2021, s. 94-95).</w:t>
      </w:r>
    </w:p>
    <w:p>
      <w:r>
        <w:t>Devlet Teşvikleri ve Destek Mekanizmaları</w:t>
      </w:r>
    </w:p>
    <w:p>
      <w:r>
        <w:t>Türkiye'de sağlık turizminin gelişimini hızlandıran başlıca etkenlerden biri, devlet tarafından sunulan kapsamlı teşviklerdir. Bu desteklerin yasal çerçevesini temel olarak 2015/8 sayılı "Döviz Kazandırıcı Hizmet Ticaretinin Desteklenmesi Hakkında Karar" oluşturmaktadır (Tengilimoğlu, 2021, s. 6; Arıkan, 2017, s. 45). Hibe niteliğindeki bu destekler, Sağlık Bakanlığı ruhsatlı özel veya üniversite hastaneleri ile sağlık turizmi şirketlerinin uluslararası pazarlarda rekabet gücünü artırmayı hedeflemektedir.</w:t>
      </w:r>
    </w:p>
    <w:p>
      <w:r>
        <w:t>Sunulan başlıca destek kalemleri arasında, sağlık kuruluşlarının hizmet markalarını yurt dışında tescil ettirmelerine yönelik giderler bulunmaktadır. Bu kapsamda araştırma, danışmanlık ve marka/patent bürosu giderleri, yıllık 50.000 ABD doları üst limite kadar %50 oranında desteklenmektedir. Pazar araştırması, sektör raporları, uluslararası mevzuat takibi ve yabancı şirket alımlarına yönelik mali ve hukuki danışmanlık hizmetlerine ilişkin giderler ise yıllık en fazla 200.000 ABD doları olmak üzere %60 oranında karşılanmaktadır. Belgelendirme desteği, kuruluşların JCI (Joint Commission International), TEMOS, Accreditation Canada gibi uluslararası geçerliliği olan akreditasyon belgelerini almalarına yöneliktir. Bu amaçla yapılan müracaat, tetkik, eğitim ve danışmanlık giderleri, belge başına 50.000 ABD dolarına kadar %50 oranında desteklenir. Bu destek sayesinde Türkiye'nin uluslararası akredite hastane sayısı artmıştır (Mert, 2013, s. 10).</w:t>
      </w:r>
    </w:p>
    <w:p>
      <w:r>
        <w:t>Ayrıca reklam, tanıtım ve pazarlama desteği kapsamında katalog, broşür ve dijital reklam faaliyetlerinin harcamaları yıllık 400.000 ABD doları üst limitle %60 oranında desteklenmektedir. Bu, sektörün en çok yararlandığı destek kalemlerinden biridir. Sağlık kuruluşlarının yurt dışında açtıkları ofis gibi birimlerin brüt kira giderleri, birim başına yıllık en fazla 120.000 ABD doları olmak üzere %60 oranında karşılanmaktadır. Bunların yanı sıra, yurt dışından hasta getiren acentelere ödenen komisyonlar yıllık 100.000 ABD dolarına kadar %50 oranında desteklenir. İstihdam edilen en fazla iki tercümanın brüt ücretleri veya dışarıdan alınan tercümanlık hizmeti giderleri de benzer şekilde desteklenmektedir. Son olarak, belirlenen ülkelerden tedavi amacıyla Türkiye'ye getirilen hastaların ulaşım giderleri, hasta başına 1.000 ABD dolarını geçmemek kaydıyla %50 oranında karşılanmaktadır (Tengilimoğlu, 2021, s. 7-8).</w:t>
      </w:r>
    </w:p>
    <w:p>
      <w:r>
        <w:t>Bu teşvikler, özellikle pazara giriş, markalaşma ve uluslararası standartlara uyum konularında sağlık kuruluşlarına finansal avantajlar sağlamakta ve Türkiye'nin küresel pazardaki rekabet gücünü doğrudan artırmaktadır.</w:t>
      </w:r>
    </w:p>
    <w:p>
      <w:r>
        <w:t>Sağlık Turizmine İlişkin İstatistiksel Veriler</w:t>
      </w:r>
    </w:p>
    <w:p>
      <w:r>
        <w:t>Türkiye'de sağlık turizmi, özellikle 2010'lu yıllardan itibaren gelen ziyaretçi sayısı ve elde edilen gelir açısından önemli bir büyüme ivmesi yakalamıştır. Sağlık Bakanlığı, TÜİK ve USHAŞ tarafından yayımlanan veriler bu gelişimi ortaya koymaktadır. 2000'li yılların başında 150-200 bin bandında seyreden sağlık amaçlı ziyaretçi sayısı, 2010 yılından sonra belirgin bir artış trendine girerek 2014'te 473.896'ya ulaşmıştır (AVŞAR, 2024, s. 710). 2015-2016 yıllarında ülkede yaşanan olumsuzluklar nedeniyle bir düşüş yaşansa da sektör hızla toparlanmıştır (Işık, 2021, s. 230). COVID-19 küresel salgını öncesinde, 2019 yılında Türkiye'yi sağlık ve tıbbi nedenlerle ziyaret edenlerin sayısı 701.046'ya ulaşarak rekor kırmıştır (AVŞAR, 2024, s. 710; Sancar, 2025, s. 45). Salgının etkisiyle 2020 yılında gelen hasta sayısı 388.150-407.423 aralığına gerilemiştir (Batbaylı, 2021, s. 82; Eryer, 2024, s. 75). Ancak salgın sonrası dönemde güçlü bir geri dönüş yaşanmıştır. 2022 yılında sağlık hizmeti almak için Türkiye'ye gelenlerin sayısı 1.258.382'ye, 2023 yılında ise 1.398.504'e yükselmiştir (Eryer, 2024, s. 75; AVŞAR, 2024, s. 710). Bu veriler, sektörün krizlere karşı dayanıklılığını ve büyüme potansiyelini göstermektedir.</w:t>
      </w:r>
    </w:p>
    <w:p>
      <w:pPr>
        <w:ind w:firstLine="0"/>
        <w:jc w:val="center"/>
      </w:pPr>
      <w:r>
        <w:drawing>
          <wp:inline xmlns:a="http://schemas.openxmlformats.org/drawingml/2006/main" xmlns:pic="http://schemas.openxmlformats.org/drawingml/2006/picture">
            <wp:extent cx="5040000" cy="29400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940000"/>
                    </a:xfrm>
                    <a:prstGeom prst="rect"/>
                  </pic:spPr>
                </pic:pic>
              </a:graphicData>
            </a:graphic>
          </wp:inline>
        </w:drawing>
      </w:r>
    </w:p>
    <w:p>
      <w:pPr>
        <w:ind w:firstLine="0"/>
        <w:jc w:val="center"/>
      </w:pPr>
      <w:r>
        <w:rPr>
          <w:i/>
          <w:sz w:val="20"/>
        </w:rPr>
        <w:t>Şekil 2. Şekil 1. Türkiye'ye Sağlık ve Tıbbi Nedenlerle Gelen Ziyaretçi Sayısı ve Sağlık Turizmi Geliri (2014-2023)</w:t>
      </w:r>
    </w:p>
    <w:p>
      <w:pPr>
        <w:spacing w:after="320"/>
        <w:ind w:firstLine="0"/>
        <w:jc w:val="center"/>
      </w:pPr>
      <w:r>
        <w:rPr>
          <w:i/>
          <w:sz w:val="18"/>
        </w:rPr>
        <w:t>Kaynak: (Avşar, 2024, s. 710; Eryer, 2024, s. 75)</w:t>
      </w:r>
    </w:p>
    <w:p>
      <w:r>
        <w:t>Sağlık turizminden elde edilen gelirler de ziyaretçi sayısındaki artışa paralel bir seyir izlemiştir. 2010'lu yılların başında 500 milyon doların altında olan gelir, 2019 yılında 1,49 milyar dolara ulaşmıştır (Eryer, 2024, s. 75). COVID-19 nedeniyle 2020'de 1,16 milyar dolara gerilese de gelirler, 2021 yılında 1,7 milyar doları, 2022 yılında ise 2,1 milyar doları aşmıştır. Bu rakam 2023 yılında yaklaşık 2,3 milyar dolar olarak gerçekleşmiştir (AVŞAR, 2024, s. 710). 2024 yılının ilk çeyrek verileri de bu artış eğiliminin sürdüğünü göstermektedir (Coşkun, 2024, s. 73). Bu rakamlar, sağlık turizminin Türkiye'nin toplam turizm gelirleri içindeki payının da arttığına işaret etmektedir. 2010'lu yılların başında %2'nin altında olan bu pay, 2020 yılında %7,86'ya kadar yükselmiş ve sonraki yıllarda %4-5 bandında istikrar kazanmıştır (AVŞAR, 2024, s. 710).</w:t>
      </w:r>
    </w:p>
    <w:p>
      <w:r>
        <w:t>Uluslararası hastaların Türkiye'yi tercih ettiği başlıca klinik branşlar arasında kadın hastalıkları, göz hastalıkları, iç hastalıkları, ortopedi ve travmatoloji, kulak-burun-boğaz, genel cerrahi ve diş hekimliği bulunmaktadır (Kuzhan, 2024, s. 23; Batbaylı, 2021, s. 81). Türkiye'ye en çok sağlık turisti gönderen ülkeler ise coğrafi ve kültürel yakınlığın etkisiyle genellikle Irak, Azerbaycan, Almanya, Türkmenistan, Rusya ve diğer Orta Doğu ülkeleri olmuştur (Eryer, 2024, s. 76; Batbaylı, 2021, s. 82).</w:t>
      </w:r>
    </w:p>
    <w:p>
      <w:r>
        <w:t>Türkiye'nin Rekabet Gücü ve Sektörün Mevcut Durumu</w:t>
      </w:r>
    </w:p>
    <w:p>
      <w:r>
        <w:t>Türkiye'nin sağlık turizmi pazarındaki payı artmaktadır. Bu artış çeşitli rekabet avantajlarına dayanmaktadır. Avantajların başında, dünya standartlarındaki sağlık hizmetlerinin özellikle Batı Avrupa ve ABD'ye kıyasla çok daha uygun maliyetlerle sunulması gelmektedir. Fiyat avantajının bazı tedavilerde %70'lere vardığı belirtilmektedir (Mert, 2013, s. 11; Coşkun, 2024, s. 73). Kaliteli ve iyi eğitimli sağlık personeli, modern teknolojiyle donatılmış hastaneler ve uluslararası akreditasyonlara (özellikle JCI) sahip tesislerin fazlalığı, Türkiye'nin hizmet kalitesi algısını güçlendiren unsurlardır (Sancar, 2025, s. 50; Mert, 2013, s. 10). Asya ile Avrupa arasında bir köprü görevi gören coğrafi konumu, zengin kültürel ve doğal turizm olanakları ve birçok ülkeye vizesiz ulaşım kolaylığı gibi faktörler, Türkiye'yi uluslararası hastalar için cazip bir destinasyon hâline getirmektedir (Eryer, 2024, s. 73; Sancar, 2025, s. 50).</w:t>
      </w:r>
    </w:p>
    <w:p>
      <w:r>
        <w:t>Bununla birlikte, sektörün önünde zorluklar da bulunmaktadır. Sağlık hizmetlerinin pazarlanmasındaki eksiklikler, kamu kurumları arasındaki koordinasyon zayıflığı ve bütüncül bir ulusal stratejinin tam olarak oturtulamaması, sektör raporlarında dile getirilen başlıca zayıf yönlerdir (AVŞAR, 2024, s. 712; Omay, 2013, s. 430). Ayrıca, komşu ülkelerdeki siyasi istikrarsızlıklar ve küresel krizlerin sektörü hızla etkileyebilmesi bir tehdit unsuru olarak değerlendirilmektedir (AVŞAR, 2024, s. 712).</w:t>
      </w:r>
    </w:p>
    <w:p>
      <w:r>
        <w:t>Devletin bu alandaki hedefleri iddialıdır. Sağlık Bakanlığı'nın 2019-2023 Stratejik Planı'nda, 2023 yılı için sağlık turizmi kapsamında gelen turist sayısının 1,5 milyona, sağlık turizmi gelirinin ise 10 milyar dolara çıkarılması hedeflenmiştir (Kuzhan, 2024, s. 37). Gelir hedefinin gerisinde kalınmış olsa da gelen turist sayısı hedefi aşılmıştır. Benzer şekilde, On Birinci Kalkınma Planı'nda da (2019-2023) sağlık turizmi, geliri artırıcı öncelikli alanlardan biri olarak belirlenmiştir (Eryer, 2024, s. 72). Bu hedefler, Türkiye'nin sağlık turizmini ulusal bir kalkınma politikası olarak görmeye devam ettiğini ve bu alandaki potansiyelini en üst düzeye çıkarmayı amaçladığını göstermektedir.</w:t>
      </w:r>
    </w:p>
    <w:p>
      <w:pPr>
        <w:pStyle w:val="Heading2"/>
      </w:pPr>
      <w:bookmarkStart w:id="109" w:name="_Toc_heading_9"/>
      <w:r>
        <w:t>2.3. Türkiye'nin Sağlık Turizmindeki Güçlü ve Zayıf Yönleri (SWOT Analizi Bağlamında)</w:t>
      </w:r>
      <w:bookmarkEnd w:id="109"/>
    </w:p>
    <w:p>
      <w:r>
        <w:t>Bir sektörün veya kurumun stratejik konumunu değerlendirmek için kullanılan GZFT (Güçlü Yönler, Zayıf Yönler, Fırsatlar, Tehditler) analizi, içsel ve dışsal faktörlerin bütüncül bir bakış açısıyla incelenmesini sağlar. Bu analiz, kurumun veya sektörün geleceğine yönelik stratejilerin belirlenmesinde temel bir araçtır (Tamer 2026, s. 5;SONĞUR n.d., s. 29). Bu bölümde Türkiye’nin sağlık turizmi alanındaki mevcut durumu, alanyazındaki çalışmalar doğrultusunda bir GZFT analizi çerçevesinde incelenmiştir.</w:t>
      </w:r>
    </w:p>
    <w:p>
      <w:r>
        <w:t>Türkiye’nin sağlık turizmi pazarındaki en belirgin rekabet avantajlarından biri, sunduğu sağlık hizmetlerinin maliyet etkinliğidir. Özellikle Amerika Birleşik Devletleri (ABD) ve Avrupa ülkeleriyle karşılaştırıldığında, Türkiye’deki tedavi maliyetlerinin önemli ölçüde düşük olduğu görülmektedir. Örneğin, ABD’de yaklaşık 50.000 dolara mal olan bir kalp ameliyatının Türkiye’de 10.000 dolar civarında gerçekleştirilebilmesi, bu maliyet avantajını somutlaştırmaktadır (Tamer, 2026, s. 5). Benzer şekilde, estetik cerrahi alanında Avrupa’ya kıyasla %60’a varan, diğer cerrahi operasyonlarda ise %60’a yakın tasarruf oranları rapor edilmiştir (Tamer, 2026, s. 5; ARIKAN, 2017, s. 42). Yapılan bir başka karşılaştırma, Türkiye'deki tedavi maliyetlerinin Birleşik Krallık'a kıyasla %15 ila %75 arasında daha düşük olduğunu saptamıştır (KILAVUZ, 2018, s. 12). Bu durum, bilhassa sigorta kapsamı dışında kalan veya yüksek maliyetli tedavilere ihtiyaç duyan uluslararası hastalar için Türkiye’yi cazip kılmaktadır. Aşağıdaki tabloda, çeşitli tıbbi işlemlerde Türkiye ile diğer ülkeler arasındaki maliyet farklılıkları özetlenmiştir.</w:t>
      </w:r>
    </w:p>
    <w:tbl>
      <w:tblPr>
        <w:tblStyle w:val="TableGrid"/>
        <w:tblW w:type="auto" w:w="0"/>
        <w:tblLayout w:type="autofit"/>
        <w:tblLook w:firstColumn="1" w:firstRow="1" w:lastColumn="0" w:lastRow="0" w:noHBand="0" w:noVBand="1" w:val="04A0"/>
      </w:tblPr>
      <w:tblGrid>
        <w:gridCol w:w="1174"/>
        <w:gridCol w:w="1174"/>
        <w:gridCol w:w="1174"/>
        <w:gridCol w:w="1174"/>
        <w:gridCol w:w="1174"/>
        <w:gridCol w:w="1174"/>
        <w:gridCol w:w="1174"/>
      </w:tblGrid>
      <w:tr>
        <w:tc>
          <w:tcPr>
            <w:tcW w:type="dxa" w:w="1174"/>
          </w:tcPr>
          <w:p>
            <w:r>
              <w:rPr>
                <w:rFonts w:ascii="Times New Roman" w:hAnsi="Times New Roman"/>
                <w:b/>
                <w:sz w:val="24"/>
              </w:rPr>
              <w:t>Sağlık İşlemi</w:t>
            </w:r>
          </w:p>
        </w:tc>
        <w:tc>
          <w:tcPr>
            <w:tcW w:type="dxa" w:w="1174"/>
          </w:tcPr>
          <w:p>
            <w:r>
              <w:rPr>
                <w:rFonts w:ascii="Times New Roman" w:hAnsi="Times New Roman"/>
                <w:b/>
                <w:sz w:val="24"/>
              </w:rPr>
              <w:t>ABD</w:t>
            </w:r>
          </w:p>
        </w:tc>
        <w:tc>
          <w:tcPr>
            <w:tcW w:type="dxa" w:w="1174"/>
          </w:tcPr>
          <w:p>
            <w:r>
              <w:rPr>
                <w:rFonts w:ascii="Times New Roman" w:hAnsi="Times New Roman"/>
                <w:b/>
                <w:sz w:val="24"/>
              </w:rPr>
              <w:t>Hindistan</w:t>
            </w:r>
          </w:p>
        </w:tc>
        <w:tc>
          <w:tcPr>
            <w:tcW w:type="dxa" w:w="1174"/>
          </w:tcPr>
          <w:p>
            <w:r>
              <w:rPr>
                <w:rFonts w:ascii="Times New Roman" w:hAnsi="Times New Roman"/>
                <w:b/>
                <w:sz w:val="24"/>
              </w:rPr>
              <w:t>Tayland</w:t>
            </w:r>
          </w:p>
        </w:tc>
        <w:tc>
          <w:tcPr>
            <w:tcW w:type="dxa" w:w="1174"/>
          </w:tcPr>
          <w:p>
            <w:r>
              <w:rPr>
                <w:rFonts w:ascii="Times New Roman" w:hAnsi="Times New Roman"/>
                <w:b/>
                <w:sz w:val="24"/>
              </w:rPr>
              <w:t>Malezya</w:t>
            </w:r>
          </w:p>
        </w:tc>
        <w:tc>
          <w:tcPr>
            <w:tcW w:type="dxa" w:w="1174"/>
          </w:tcPr>
          <w:p>
            <w:r>
              <w:rPr>
                <w:rFonts w:ascii="Times New Roman" w:hAnsi="Times New Roman"/>
                <w:b/>
                <w:sz w:val="24"/>
              </w:rPr>
              <w:t>Singapur</w:t>
            </w:r>
          </w:p>
        </w:tc>
        <w:tc>
          <w:tcPr>
            <w:tcW w:type="dxa" w:w="1174"/>
          </w:tcPr>
          <w:p>
            <w:r>
              <w:rPr>
                <w:rFonts w:ascii="Times New Roman" w:hAnsi="Times New Roman"/>
                <w:b/>
                <w:sz w:val="24"/>
              </w:rPr>
              <w:t>Türkiye</w:t>
            </w:r>
          </w:p>
        </w:tc>
      </w:tr>
      <w:tr>
        <w:tc>
          <w:tcPr>
            <w:tcW w:type="dxa" w:w="1174"/>
          </w:tcPr>
          <w:p>
            <w:r>
              <w:rPr>
                <w:rFonts w:ascii="Times New Roman" w:hAnsi="Times New Roman"/>
                <w:sz w:val="24"/>
              </w:rPr>
              <w:t>Kalp Bypass</w:t>
            </w:r>
          </w:p>
        </w:tc>
        <w:tc>
          <w:tcPr>
            <w:tcW w:type="dxa" w:w="1174"/>
          </w:tcPr>
          <w:p>
            <w:r>
              <w:rPr>
                <w:rFonts w:ascii="Times New Roman" w:hAnsi="Times New Roman"/>
                <w:sz w:val="24"/>
              </w:rPr>
              <w:t>123.000</w:t>
            </w:r>
          </w:p>
        </w:tc>
        <w:tc>
          <w:tcPr>
            <w:tcW w:type="dxa" w:w="1174"/>
          </w:tcPr>
          <w:p>
            <w:r>
              <w:rPr>
                <w:rFonts w:ascii="Times New Roman" w:hAnsi="Times New Roman"/>
                <w:sz w:val="24"/>
              </w:rPr>
              <w:t>7.900</w:t>
            </w:r>
          </w:p>
        </w:tc>
        <w:tc>
          <w:tcPr>
            <w:tcW w:type="dxa" w:w="1174"/>
          </w:tcPr>
          <w:p>
            <w:r>
              <w:rPr>
                <w:rFonts w:ascii="Times New Roman" w:hAnsi="Times New Roman"/>
                <w:sz w:val="24"/>
              </w:rPr>
              <w:t>15.000</w:t>
            </w:r>
          </w:p>
        </w:tc>
        <w:tc>
          <w:tcPr>
            <w:tcW w:type="dxa" w:w="1174"/>
          </w:tcPr>
          <w:p>
            <w:r>
              <w:rPr>
                <w:rFonts w:ascii="Times New Roman" w:hAnsi="Times New Roman"/>
                <w:sz w:val="24"/>
              </w:rPr>
              <w:t>12.100</w:t>
            </w:r>
          </w:p>
        </w:tc>
        <w:tc>
          <w:tcPr>
            <w:tcW w:type="dxa" w:w="1174"/>
          </w:tcPr>
          <w:p>
            <w:r>
              <w:rPr>
                <w:rFonts w:ascii="Times New Roman" w:hAnsi="Times New Roman"/>
                <w:sz w:val="24"/>
              </w:rPr>
              <w:t>17.200</w:t>
            </w:r>
          </w:p>
        </w:tc>
        <w:tc>
          <w:tcPr>
            <w:tcW w:type="dxa" w:w="1174"/>
          </w:tcPr>
          <w:p>
            <w:r>
              <w:rPr>
                <w:rFonts w:ascii="Times New Roman" w:hAnsi="Times New Roman"/>
                <w:sz w:val="24"/>
              </w:rPr>
              <w:t>13.900</w:t>
            </w:r>
          </w:p>
        </w:tc>
      </w:tr>
      <w:tr>
        <w:tc>
          <w:tcPr>
            <w:tcW w:type="dxa" w:w="1174"/>
          </w:tcPr>
          <w:p>
            <w:r>
              <w:rPr>
                <w:rFonts w:ascii="Times New Roman" w:hAnsi="Times New Roman"/>
                <w:sz w:val="24"/>
              </w:rPr>
              <w:t>Anjiyoplasti</w:t>
            </w:r>
          </w:p>
        </w:tc>
        <w:tc>
          <w:tcPr>
            <w:tcW w:type="dxa" w:w="1174"/>
          </w:tcPr>
          <w:p>
            <w:r>
              <w:rPr>
                <w:rFonts w:ascii="Times New Roman" w:hAnsi="Times New Roman"/>
                <w:sz w:val="24"/>
              </w:rPr>
              <w:t>28.200</w:t>
            </w:r>
          </w:p>
        </w:tc>
        <w:tc>
          <w:tcPr>
            <w:tcW w:type="dxa" w:w="1174"/>
          </w:tcPr>
          <w:p>
            <w:r>
              <w:rPr>
                <w:rFonts w:ascii="Times New Roman" w:hAnsi="Times New Roman"/>
                <w:sz w:val="24"/>
              </w:rPr>
              <w:t>5.700</w:t>
            </w:r>
          </w:p>
        </w:tc>
        <w:tc>
          <w:tcPr>
            <w:tcW w:type="dxa" w:w="1174"/>
          </w:tcPr>
          <w:p>
            <w:r>
              <w:rPr>
                <w:rFonts w:ascii="Times New Roman" w:hAnsi="Times New Roman"/>
                <w:sz w:val="24"/>
              </w:rPr>
              <w:t>4.200</w:t>
            </w:r>
          </w:p>
        </w:tc>
        <w:tc>
          <w:tcPr>
            <w:tcW w:type="dxa" w:w="1174"/>
          </w:tcPr>
          <w:p>
            <w:r>
              <w:rPr>
                <w:rFonts w:ascii="Times New Roman" w:hAnsi="Times New Roman"/>
                <w:sz w:val="24"/>
              </w:rPr>
              <w:t>8.000</w:t>
            </w:r>
          </w:p>
        </w:tc>
        <w:tc>
          <w:tcPr>
            <w:tcW w:type="dxa" w:w="1174"/>
          </w:tcPr>
          <w:p>
            <w:r>
              <w:rPr>
                <w:rFonts w:ascii="Times New Roman" w:hAnsi="Times New Roman"/>
                <w:sz w:val="24"/>
              </w:rPr>
              <w:t>13.400</w:t>
            </w:r>
          </w:p>
        </w:tc>
        <w:tc>
          <w:tcPr>
            <w:tcW w:type="dxa" w:w="1174"/>
          </w:tcPr>
          <w:p>
            <w:r>
              <w:rPr>
                <w:rFonts w:ascii="Times New Roman" w:hAnsi="Times New Roman"/>
                <w:sz w:val="24"/>
              </w:rPr>
              <w:t>4.800</w:t>
            </w:r>
          </w:p>
        </w:tc>
      </w:tr>
      <w:tr>
        <w:tc>
          <w:tcPr>
            <w:tcW w:type="dxa" w:w="1174"/>
          </w:tcPr>
          <w:p>
            <w:r>
              <w:rPr>
                <w:rFonts w:ascii="Times New Roman" w:hAnsi="Times New Roman"/>
                <w:sz w:val="24"/>
              </w:rPr>
              <w:t>Kalp Kapağı Değişikliği</w:t>
            </w:r>
          </w:p>
        </w:tc>
        <w:tc>
          <w:tcPr>
            <w:tcW w:type="dxa" w:w="1174"/>
          </w:tcPr>
          <w:p>
            <w:r>
              <w:rPr>
                <w:rFonts w:ascii="Times New Roman" w:hAnsi="Times New Roman"/>
                <w:sz w:val="24"/>
              </w:rPr>
              <w:t>170.000</w:t>
            </w:r>
          </w:p>
        </w:tc>
        <w:tc>
          <w:tcPr>
            <w:tcW w:type="dxa" w:w="1174"/>
          </w:tcPr>
          <w:p>
            <w:r>
              <w:rPr>
                <w:rFonts w:ascii="Times New Roman" w:hAnsi="Times New Roman"/>
                <w:sz w:val="24"/>
              </w:rPr>
              <w:t>9.500</w:t>
            </w:r>
          </w:p>
        </w:tc>
        <w:tc>
          <w:tcPr>
            <w:tcW w:type="dxa" w:w="1174"/>
          </w:tcPr>
          <w:p>
            <w:r>
              <w:rPr>
                <w:rFonts w:ascii="Times New Roman" w:hAnsi="Times New Roman"/>
                <w:sz w:val="24"/>
              </w:rPr>
              <w:t>17.200</w:t>
            </w:r>
          </w:p>
        </w:tc>
        <w:tc>
          <w:tcPr>
            <w:tcW w:type="dxa" w:w="1174"/>
          </w:tcPr>
          <w:p>
            <w:r>
              <w:rPr>
                <w:rFonts w:ascii="Times New Roman" w:hAnsi="Times New Roman"/>
                <w:sz w:val="24"/>
              </w:rPr>
              <w:t>13.500</w:t>
            </w:r>
          </w:p>
        </w:tc>
        <w:tc>
          <w:tcPr>
            <w:tcW w:type="dxa" w:w="1174"/>
          </w:tcPr>
          <w:p>
            <w:r>
              <w:rPr>
                <w:rFonts w:ascii="Times New Roman" w:hAnsi="Times New Roman"/>
                <w:sz w:val="24"/>
              </w:rPr>
              <w:t>16.900</w:t>
            </w:r>
          </w:p>
        </w:tc>
        <w:tc>
          <w:tcPr>
            <w:tcW w:type="dxa" w:w="1174"/>
          </w:tcPr>
          <w:p>
            <w:r>
              <w:rPr>
                <w:rFonts w:ascii="Times New Roman" w:hAnsi="Times New Roman"/>
                <w:sz w:val="24"/>
              </w:rPr>
              <w:t>17.200</w:t>
            </w:r>
          </w:p>
        </w:tc>
      </w:tr>
      <w:tr>
        <w:tc>
          <w:tcPr>
            <w:tcW w:type="dxa" w:w="1174"/>
          </w:tcPr>
          <w:p>
            <w:r>
              <w:rPr>
                <w:rFonts w:ascii="Times New Roman" w:hAnsi="Times New Roman"/>
                <w:sz w:val="24"/>
              </w:rPr>
              <w:t>Diz Protezi</w:t>
            </w:r>
          </w:p>
        </w:tc>
        <w:tc>
          <w:tcPr>
            <w:tcW w:type="dxa" w:w="1174"/>
          </w:tcPr>
          <w:p>
            <w:r>
              <w:rPr>
                <w:rFonts w:ascii="Times New Roman" w:hAnsi="Times New Roman"/>
                <w:sz w:val="24"/>
              </w:rPr>
              <w:t>35.000</w:t>
            </w:r>
          </w:p>
        </w:tc>
        <w:tc>
          <w:tcPr>
            <w:tcW w:type="dxa" w:w="1174"/>
          </w:tcPr>
          <w:p>
            <w:r>
              <w:rPr>
                <w:rFonts w:ascii="Times New Roman" w:hAnsi="Times New Roman"/>
                <w:sz w:val="24"/>
              </w:rPr>
              <w:t>6.600</w:t>
            </w:r>
          </w:p>
        </w:tc>
        <w:tc>
          <w:tcPr>
            <w:tcW w:type="dxa" w:w="1174"/>
          </w:tcPr>
          <w:p>
            <w:r>
              <w:rPr>
                <w:rFonts w:ascii="Times New Roman" w:hAnsi="Times New Roman"/>
                <w:sz w:val="24"/>
              </w:rPr>
              <w:t>14.000</w:t>
            </w:r>
          </w:p>
        </w:tc>
        <w:tc>
          <w:tcPr>
            <w:tcW w:type="dxa" w:w="1174"/>
          </w:tcPr>
          <w:p>
            <w:r>
              <w:rPr>
                <w:rFonts w:ascii="Times New Roman" w:hAnsi="Times New Roman"/>
                <w:sz w:val="24"/>
              </w:rPr>
              <w:t>7.700</w:t>
            </w:r>
          </w:p>
        </w:tc>
        <w:tc>
          <w:tcPr>
            <w:tcW w:type="dxa" w:w="1174"/>
          </w:tcPr>
          <w:p>
            <w:r>
              <w:rPr>
                <w:rFonts w:ascii="Times New Roman" w:hAnsi="Times New Roman"/>
                <w:sz w:val="24"/>
              </w:rPr>
              <w:t>16.000</w:t>
            </w:r>
          </w:p>
        </w:tc>
        <w:tc>
          <w:tcPr>
            <w:tcW w:type="dxa" w:w="1174"/>
          </w:tcPr>
          <w:p>
            <w:r>
              <w:rPr>
                <w:rFonts w:ascii="Times New Roman" w:hAnsi="Times New Roman"/>
                <w:sz w:val="24"/>
              </w:rPr>
              <w:t>10.400</w:t>
            </w:r>
          </w:p>
        </w:tc>
      </w:tr>
      <w:tr>
        <w:tc>
          <w:tcPr>
            <w:tcW w:type="dxa" w:w="1174"/>
          </w:tcPr>
          <w:p>
            <w:r>
              <w:rPr>
                <w:rFonts w:ascii="Times New Roman" w:hAnsi="Times New Roman"/>
                <w:sz w:val="24"/>
              </w:rPr>
              <w:t>Diş İmplantı</w:t>
            </w:r>
          </w:p>
        </w:tc>
        <w:tc>
          <w:tcPr>
            <w:tcW w:type="dxa" w:w="1174"/>
          </w:tcPr>
          <w:p>
            <w:r>
              <w:rPr>
                <w:rFonts w:ascii="Times New Roman" w:hAnsi="Times New Roman"/>
                <w:sz w:val="24"/>
              </w:rPr>
              <w:t>2.500</w:t>
            </w:r>
          </w:p>
        </w:tc>
        <w:tc>
          <w:tcPr>
            <w:tcW w:type="dxa" w:w="1174"/>
          </w:tcPr>
          <w:p>
            <w:r>
              <w:rPr>
                <w:rFonts w:ascii="Times New Roman" w:hAnsi="Times New Roman"/>
                <w:sz w:val="24"/>
              </w:rPr>
              <w:t>900</w:t>
            </w:r>
          </w:p>
        </w:tc>
        <w:tc>
          <w:tcPr>
            <w:tcW w:type="dxa" w:w="1174"/>
          </w:tcPr>
          <w:p>
            <w:r>
              <w:rPr>
                <w:rFonts w:ascii="Times New Roman" w:hAnsi="Times New Roman"/>
                <w:sz w:val="24"/>
              </w:rPr>
              <w:t>1.720</w:t>
            </w:r>
          </w:p>
        </w:tc>
        <w:tc>
          <w:tcPr>
            <w:tcW w:type="dxa" w:w="1174"/>
          </w:tcPr>
          <w:p>
            <w:r>
              <w:rPr>
                <w:rFonts w:ascii="Times New Roman" w:hAnsi="Times New Roman"/>
                <w:sz w:val="24"/>
              </w:rPr>
              <w:t>1.500</w:t>
            </w:r>
          </w:p>
        </w:tc>
        <w:tc>
          <w:tcPr>
            <w:tcW w:type="dxa" w:w="1174"/>
          </w:tcPr>
          <w:p>
            <w:r>
              <w:rPr>
                <w:rFonts w:ascii="Times New Roman" w:hAnsi="Times New Roman"/>
                <w:sz w:val="24"/>
              </w:rPr>
              <w:t>2.700</w:t>
            </w:r>
          </w:p>
        </w:tc>
        <w:tc>
          <w:tcPr>
            <w:tcW w:type="dxa" w:w="1174"/>
          </w:tcPr>
          <w:p>
            <w:r>
              <w:rPr>
                <w:rFonts w:ascii="Times New Roman" w:hAnsi="Times New Roman"/>
                <w:sz w:val="24"/>
              </w:rPr>
              <w:t>1.100</w:t>
            </w:r>
          </w:p>
        </w:tc>
      </w:tr>
      <w:tr>
        <w:tc>
          <w:tcPr>
            <w:tcW w:type="dxa" w:w="1174"/>
          </w:tcPr>
          <w:p>
            <w:r>
              <w:rPr>
                <w:rFonts w:ascii="Times New Roman" w:hAnsi="Times New Roman"/>
                <w:sz w:val="24"/>
              </w:rPr>
              <w:t>Rinoplasti</w:t>
            </w:r>
          </w:p>
        </w:tc>
        <w:tc>
          <w:tcPr>
            <w:tcW w:type="dxa" w:w="1174"/>
          </w:tcPr>
          <w:p>
            <w:r>
              <w:rPr>
                <w:rFonts w:ascii="Times New Roman" w:hAnsi="Times New Roman"/>
                <w:sz w:val="24"/>
              </w:rPr>
              <w:t>6.500</w:t>
            </w:r>
          </w:p>
        </w:tc>
        <w:tc>
          <w:tcPr>
            <w:tcW w:type="dxa" w:w="1174"/>
          </w:tcPr>
          <w:p>
            <w:r>
              <w:rPr>
                <w:rFonts w:ascii="Times New Roman" w:hAnsi="Times New Roman"/>
                <w:sz w:val="24"/>
              </w:rPr>
              <w:t>2.400</w:t>
            </w:r>
          </w:p>
        </w:tc>
        <w:tc>
          <w:tcPr>
            <w:tcW w:type="dxa" w:w="1174"/>
          </w:tcPr>
          <w:p>
            <w:r>
              <w:rPr>
                <w:rFonts w:ascii="Times New Roman" w:hAnsi="Times New Roman"/>
                <w:sz w:val="24"/>
              </w:rPr>
              <w:t>3.300</w:t>
            </w:r>
          </w:p>
        </w:tc>
        <w:tc>
          <w:tcPr>
            <w:tcW w:type="dxa" w:w="1174"/>
          </w:tcPr>
          <w:p>
            <w:r>
              <w:rPr>
                <w:rFonts w:ascii="Times New Roman" w:hAnsi="Times New Roman"/>
                <w:sz w:val="24"/>
              </w:rPr>
              <w:t>2.200</w:t>
            </w:r>
          </w:p>
        </w:tc>
        <w:tc>
          <w:tcPr>
            <w:tcW w:type="dxa" w:w="1174"/>
          </w:tcPr>
          <w:p>
            <w:r>
              <w:rPr>
                <w:rFonts w:ascii="Times New Roman" w:hAnsi="Times New Roman"/>
                <w:sz w:val="24"/>
              </w:rPr>
              <w:t>2.200</w:t>
            </w:r>
          </w:p>
        </w:tc>
        <w:tc>
          <w:tcPr>
            <w:tcW w:type="dxa" w:w="1174"/>
          </w:tcPr>
          <w:p>
            <w:r>
              <w:rPr>
                <w:rFonts w:ascii="Times New Roman" w:hAnsi="Times New Roman"/>
                <w:sz w:val="24"/>
              </w:rPr>
              <w:t>3.100</w:t>
            </w:r>
          </w:p>
        </w:tc>
      </w:tr>
      <w:tr>
        <w:tc>
          <w:tcPr>
            <w:tcW w:type="dxa" w:w="1174"/>
          </w:tcPr>
          <w:p>
            <w:r>
              <w:rPr>
                <w:rFonts w:ascii="Times New Roman" w:hAnsi="Times New Roman"/>
                <w:sz w:val="24"/>
              </w:rPr>
              <w:t>IVF Tedavisi</w:t>
            </w:r>
          </w:p>
        </w:tc>
        <w:tc>
          <w:tcPr>
            <w:tcW w:type="dxa" w:w="1174"/>
          </w:tcPr>
          <w:p>
            <w:r>
              <w:rPr>
                <w:rFonts w:ascii="Times New Roman" w:hAnsi="Times New Roman"/>
                <w:sz w:val="24"/>
              </w:rPr>
              <w:t>12.400</w:t>
            </w:r>
          </w:p>
        </w:tc>
        <w:tc>
          <w:tcPr>
            <w:tcW w:type="dxa" w:w="1174"/>
          </w:tcPr>
          <w:p>
            <w:r>
              <w:rPr>
                <w:rFonts w:ascii="Times New Roman" w:hAnsi="Times New Roman"/>
                <w:sz w:val="24"/>
              </w:rPr>
              <w:t>2.500</w:t>
            </w:r>
          </w:p>
        </w:tc>
        <w:tc>
          <w:tcPr>
            <w:tcW w:type="dxa" w:w="1174"/>
          </w:tcPr>
          <w:p>
            <w:r>
              <w:rPr>
                <w:rFonts w:ascii="Times New Roman" w:hAnsi="Times New Roman"/>
                <w:sz w:val="24"/>
              </w:rPr>
              <w:t>4.100</w:t>
            </w:r>
          </w:p>
        </w:tc>
        <w:tc>
          <w:tcPr>
            <w:tcW w:type="dxa" w:w="1174"/>
          </w:tcPr>
          <w:p>
            <w:r>
              <w:rPr>
                <w:rFonts w:ascii="Times New Roman" w:hAnsi="Times New Roman"/>
                <w:sz w:val="24"/>
              </w:rPr>
              <w:t>6.900</w:t>
            </w:r>
          </w:p>
        </w:tc>
        <w:tc>
          <w:tcPr>
            <w:tcW w:type="dxa" w:w="1174"/>
          </w:tcPr>
          <w:p>
            <w:r>
              <w:rPr>
                <w:rFonts w:ascii="Times New Roman" w:hAnsi="Times New Roman"/>
                <w:sz w:val="24"/>
              </w:rPr>
              <w:t>14.900</w:t>
            </w:r>
          </w:p>
        </w:tc>
        <w:tc>
          <w:tcPr>
            <w:tcW w:type="dxa" w:w="1174"/>
          </w:tcPr>
          <w:p>
            <w:r>
              <w:rPr>
                <w:rFonts w:ascii="Times New Roman" w:hAnsi="Times New Roman"/>
                <w:sz w:val="24"/>
              </w:rPr>
              <w:t>5.200</w:t>
            </w:r>
          </w:p>
        </w:tc>
      </w:tr>
    </w:tbl>
    <w:p/>
    <w:p>
      <w:r>
        <w:t>Kaynak: (Sözeri, 2020, s. 46).</w:t>
      </w:r>
    </w:p>
    <w:p>
      <w:r>
        <w:t>Uygun maliyetin yanı sıra Türkiye’nin sağlık altyapısı ve hizmet kalitesi de önemli bir güçlü yön olarak belirtilmektedir. 2003 yılında başlatılan “Sağlıkta Dönüşüm Programı” ile sağlık hizmet sunumunun daha verimli ve erişilebilir hâle getirilmesi hedeflenmiştir (Solak, 2011, s. 23). Bu kapsamda yapılan yatırımlar, özellikle özel sektör ve üniversite hastanelerinin fiziki ve teknolojik altyapısını dünya standartlarına taşımıştır (KOSTAK, 2007, s. 162). Nitekim Türkiye, Joint Commission International (JCI) tarafından akredite edilmiş hastane sayısı bakımından dünyanın önde gelen ülkeleri arasında yer almaktadır. Yaklaşık 48 sağlık kuruluşunun bu akreditasyona sahip olması, uluslararası hastaların kalite algısını olumlu yönde etkilemektedir (Mert, 2013, s. 10; KILAVUZ, 2018, s. 14). Bu durum, Türkiye’nin onkoloji, kardiyoloji, organ nakli, tüp bebek ve göz hastalıkları gibi pek çok uzmanlık alanında rekabetçi bir konuma gelmesini sağlamıştır (Tamer, 2026, s. 5; Sancar, 2025, s. 58).</w:t>
      </w:r>
    </w:p>
    <w:p>
      <w:r>
        <w:t>Türkiye’nin coğrafi konumu bir diğer stratejik avantajdır. Asya ve Avrupa kıtaları arasında bir köprü görevi görmesi ve üç saatlik bir uçuş mesafesiyle yaklaşık bir milyar insana ulaşım imkânı sağlaması, ülkeyi özellikle Avrupa, Orta Doğu, Rusya ve Türki Cumhuriyetlerden gelen hastalar için erişilebilir kılmaktadır (KOSTAK, 2007, s. 162; KILAVUZ, 2018, s. 12). Bunun yanı sıra ılıman iklimi, tarihi ve kültürel zenginlikleri, hastaların tedavi süreçlerini bir tatil fırsatıyla birleştirmesine olanak tanıyarak ülkenin çekiciliğini artırmaktadır (SONĞUR n.d., s. 27).</w:t>
      </w:r>
    </w:p>
    <w:p>
      <w:r>
        <w:t>Son olarak, sağlık turizmini desteklemeye yönelik yasal düzenlemeler ve devlet teşvikleri de sektörün büyümesini destekleyen unsurlar arasındadır. Ekonomi Bakanlığı ve Ticaret Bakanlığı tarafından sağlanan ofis açma, tanıtım ve kira destekleri ile USHAŞ (Uluslararası Sağlık Hizmetleri A.Ş.) gibi kurumların varlığı, sektörün kurumsallaşmasını ve uluslararası pazarlarda daha etkin olmasını sağlamaktadır (Kuzhan, 2024, s. 19; Collins, 2022, s. 9).</w:t>
      </w:r>
    </w:p>
    <w:p>
      <w:r>
        <w:t>Türkiye'nin sağlık turizmi alanındaki potansiyeline rağmen, bu potansiyelin tam olarak kullanılmasını engelleyen çeşitli zayıf yönler de bulunmaktadır. Bunların başında pazarlama ve tanıtım faaliyetlerindeki yetersizlikler gelmektedir. Birçok çalışmada, Türkiye'nin sağlık hizmetlerindeki başarısını uluslararası arenada yeterince duyuramadığı, markalaşma konusunda eksik kaldığı ve bu alanda bütüncül bir pazarlama stratejisinin bulunmadığı vurgulanmaktadır (Kuzhan, 2024, s. 19; KOSTAK, 2007, s. 163; KILAVUZ, 2018, s. 12). Sağlık kuruluşlarının web sayfalarındaki eksiklikler ve tanıtım materyallerinin yetersizliği de bu sorunun bir parçası olarak görülmektedir (Hasanov, 2018, s. 6).</w:t>
      </w:r>
    </w:p>
    <w:p>
      <w:r>
        <w:t>Sektördeki bir diğer önemli zayıflık, kurumlar arası koordinasyon eksikliği ve stratejik planlama yoksunluğudur. Sağlık Bakanlığı, Kültür ve Turizm Bakanlığı, özel sektör ve sivil toplum kuruluşları arasında ortak bir vizyon ve işbirliği kültürünün zayıf olduğu ifade edilmektedir (Kuzhan, 2024, s. 19; KOSTAK, 2007, s. 163). Bu durum kaynakların verimsiz kullanılmasına yol açmakta, net ve uzun vadeli bir devlet stratejisinin yokluğu ise sektörün dağınık bir yapıda ilerlemesine ve gelişiminin yavaşlamasına neden olmaktadır (Kuzhan, 2024, s. 19; Omay, 2013, s. 6).</w:t>
      </w:r>
    </w:p>
    <w:p>
      <w:r>
        <w:t>Nitelikli insan kaynağına ilişkin sorunlar da mevcuttur. Özellikle sağlık personelinin ve hastane yöneticilerinin yabancı dil bilgisinin yetersiz olması, uluslararası hastalarla iletişimde önemli bir engel teşkil etmektedir (KOSTAK 2007, s. 161;Tamer 2026, s. 5;SONĞUR n.d., s. 27). Hindistan gibi rakip ülkeler, İngilizce konuşan eğitimli iş gücü sayesinde bu alanda ciddi bir avantaj yakalamışken, Türkiye'de bu konuda önemli bir eksiklik olduğu belirtilmektedir (KOSTAK, 2007, s. 161). Ayrıca, hastane yöneticilerinin ve personelin Avrupa sağlık mevzuatı ile uluslararası hasta hakları konusundaki bilgi düzeylerinin yetersizliği de bir diğer zayıf yön olarak saptanmıştır (KOSTAK, 2007, s. 163).</w:t>
      </w:r>
    </w:p>
    <w:p>
      <w:r>
        <w:t>Altyapı ve standardizasyon konusunda da eksiklikler bulunmaktadır. Her ne kadar JCI akreditasyonuna sahip hastane sayısı artsa da, Türkiye'deki hastanelerin çok az bir kısmının uluslararası akreditasyona sahip olduğu ve özellikle kamu hastanelerinin büyük bir bölümünün sağlık turizmi için henüz hazır olmadığı ifade edilmektedir (Kuzhan, 2024, s. 19; KOSTAK, 2007, s. 163). Fiyatlandırmada bir standardın olmaması bir zayıflıktır. Aynı tedavi için farklı faturaların ortaya çıkabilmesi, güven sorununa yol açmaktadır (Kuzhan, 2024, s. 20). Etkin bir kayıt ve denetim sisteminin ulusal ölçekte kurulamamış olması ve Sağlık Bakanlığı ile sağlık kuruluşları arasındaki veri paylaşımındaki yetersizlikler de sektörün etkin yönetimini ve planlamasını zorlaştırmaktadır (Kuzhan, 2024, s. 19).</w:t>
      </w:r>
    </w:p>
    <w:p>
      <w:r>
        <w:t>Türkiye'nin sağlık turizmi sektörünün büyümesini tetikleyebilecek çeşitli dışsal faktörler ve fırsatlar bulunmaktadır. Küreselleşmenin etkisiyle bireylerin sağlık hizmetlerini ulusal sınırların dışında arama eğiliminin artması, pazarın genel olarak büyümesini sağlamaktadır (Kuzhan, 2024, s. 20; Omay, 2013, s. 6). Özellikle gelişmiş Batı ülkelerindeki uzun bekleme süreleri ve yüksek tedavi maliyetleri, hastaları Türkiye gibi daha uygun maliyetli ve hızlı hizmet sunan ülkelere yönlendirmektedir (KOSTAK, 2007, s. 163). Avrupa ülkelerinde yaşlanan nüfus ve artan kronik hastalıklar da sağlık hizmeti talebini artıran ve Türkiye için bir fırsat oluşturan gelişmelerdir (KOSTAK, 2007, s. 163).</w:t>
      </w:r>
    </w:p>
    <w:p>
      <w:r>
        <w:t>Teknolojideki gelişmeler bir diğer önemli fırsat alanıdır. İnternet ve dijital iletişim platformları, potansiyel hastaların farklı ülkelerdeki sağlık kuruluşları ve hizmetler hakkında kolayca bilgi edinmesini sağlamaktadır (Kuzhan, 2024, s. 20). Dijital sağlık ve teletıp uygulamaları, hastaların tedavi öncesi ön görüşme ve tedavi sonrası takip süreçlerini kolaylaştırarak Türkiye'nin erişim alanını genişletebilir (Tamer, 2026, s. 5).</w:t>
      </w:r>
    </w:p>
    <w:p>
      <w:r>
        <w:t>Türkiye’nin uluslararası alanda artan tanınırlığı ve olumlu imajı da bir fırsat olarak değerlendirilmektedir. Özellikle COVID-19 salgını sürecinde Türkiye’nin sağlık sisteminin gösterdiği performans, dünya kamuoyunda olumlu bir etki bırakmış ve ülkenin sağlık alanındaki gücünü göstermiştir (Solak, 2011, s. 23; Collins, 2022, s. 10). Buna ek olarak, yurt dışında yaşayan yaklaşık beş milyonluk Türk nüfusu ve Türki Cumhuriyetler gibi kültürel bağların güçlü olduğu bölgeler, doğal bir hedef pazar oluşturmaktadır (SONĞUR n.d., s. 27;Kuzhan 2024, s. 20).</w:t>
      </w:r>
    </w:p>
    <w:p>
      <w:r>
        <w:t>Geleneksel medikal turizmin yanı sıra termal, spa-wellness, yaşlı ve engelli turizmi gibi alt alanlarda da önemli bir potansiyel mevcuttur. Türkiye'nin zengin termal kaynakları, Avrupa'da bu alanda birinci sıraya yerleşme potansiyeli taşımaktadır (Solak 2011, s. 24;SONĞUR n.d., s. 27). Yaşlanan dünya nüfusu göz önüne alındığında, ileri yaş ve bakım turizmine yönelik yapılacak yatırımlar da gelecekte önemli bir gelir kaynağı olabilir (Tamer, 2026, s. 5).</w:t>
      </w:r>
    </w:p>
    <w:p>
      <w:r>
        <w:t>Sağlık turizmi sektörü, büyüme potansiyeli taşımakla birlikte, sürdürülebilirliğini riske atabilecek çeşitli tehditlerle de karşı karşıyadır. Bu tehditlerin başında artan küresel rekabet gelmektedir. Hindistan, Tayland, Malezya gibi Asya ülkeleri hem düşük maliyet hem de agresif pazarlama stratejileriyle öne çıkarken, Birleşik Arap Emirlikleri, İsrail ve Ürdün gibi komşu ülkeler de bölgede önemli bir rekabet baskısı oluşturmaktadır (Kuzhan, 2024, s. 20; KOSTAK, 2007, s. 163). Rakip ülkelerin yapacağı yoğun tanıtım çalışmaları, Türkiye'nin pazar payını olumsuz etkileyebilir (KOSTAK, 2007, s. 163).</w:t>
      </w:r>
    </w:p>
    <w:p>
      <w:r>
        <w:t>Bölgesel ve küresel istikrarsızlıklar bir diğer önemli tehdittir. Komşu ülkelerdeki siyasi krizler veya savaşlar, Türkiye'nin genel turizm imajını doğrudan etkileyerek sağlık turistlerinin ülkeyi tercih etme kararını olumsuz yönde etkileyebilir (Omay, 2013, s. 6; AVŞAR, 2024, s. 6). Döviz kurundaki aşırı dalgalanmalar ve ekonomik belirsizlikler de sektördeki yatırım ve maliyet planlamalarını zorlaştıran risk faktörleridir (Tamer, 2026, s. 5).</w:t>
      </w:r>
    </w:p>
    <w:p>
      <w:r>
        <w:t>Sağlık hizmetlerinin sunumuna ilişkin riskler de önemli bir tehdit unsurudur. Yurt dışından gelen hastalardan daha yüksek gelir elde etme beklentisi, yerel halkın sağlık hizmetlerine erişiminde kalite düşüşüne neden olma potansiyeli taşımaktadır (Kuzhan, 2024, s. 20; Sancar, 2025, s. 62). Benzer şekilde, nitelikli doktorların ve sağlık personelinin kamu sektöründen ayrılarak yabancı hastalara odaklanan özel kuruluşlara yönelmesi (beyin göçü), kamu sağlık sistemini zayıflatabilir (Kuzhan, 2024, s. 20; Omay, 2013, s. 6).</w:t>
      </w:r>
    </w:p>
    <w:p>
      <w:r>
        <w:t>Etik dışı uygulamalar ve hukuki sorunlar da ülke imajı için ciddi bir tehdittir. Tıbbi uygulama hataları (malpraktis), gereksiz tedaviler, aşırı faturalandırma ve yanıltıcı tanıtımlar, sağlık kuruluşlarına ve dolayısıyla ülkeye duyulan güveni zedeleyebilir (Sancar 2025, s. 62;SONĞUR n.d., s. 28). Tedavi sonrası ortaya çıkabilecek komplikasyonların hastanın kendi ülkesinde yönetilmesi gerekliliği ve bu süreçteki hukuki belirsizlikler de potansiyel hastalar için caydırıcı olabilmektedir (Kuzhan, 2024, s. 20). Son olarak, yurt dışından gelen hastaların farklı türde bulaşıcı hastalıklar taşıma riski de literatürde belirtilen bir tehdittir (Kuzhan, 2024, s. 20; Hasanov, 2018, s. 6).</w:t>
      </w:r>
    </w:p>
    <w:p>
      <w:r>
        <w:t>Sonuç olarak yapılan GZFT analizi, Türkiye’nin sağlık turizmi alanında önemli güçlü yönlere ve fırsatlara sahip olduğunu göstermektedir. Ancak bu potansiyelin sürdürülebilir bir başarıya dönüşebilmesi için zayıf yönlerin giderilmesi ve tehditlerin etkin bir şekilde yönetilmesi gerekmektedir. Bu sürecin başarısı, uzun vadeli ve bütüncül bir stratejik planlamaya bağlıdır.</w:t>
      </w:r>
    </w:p>
    <w:p>
      <w:r>
        <w:br w:type="page"/>
      </w:r>
    </w:p>
    <w:p>
      <w:pPr>
        <w:pStyle w:val="Heading1"/>
      </w:pPr>
      <w:bookmarkStart w:id="110" w:name="_Toc_heading_10"/>
      <w:r>
        <w:t>3. ÜÇÜNCÜ BÖLÜM: TÜRKİYE'DE SAĞLIK TURİZMİNİN EKONOMİK ETKİLERİ</w:t>
      </w:r>
      <w:bookmarkEnd w:id="110"/>
    </w:p>
    <w:p>
      <w:pPr>
        <w:pStyle w:val="Heading2"/>
      </w:pPr>
      <w:bookmarkStart w:id="111" w:name="_Toc_heading_11"/>
      <w:r>
        <w:t>3.1. Sağlık Turizminin Doğrudan ve Dolaylı Ekonomik Katkıları</w:t>
      </w:r>
      <w:bookmarkEnd w:id="111"/>
    </w:p>
    <w:p>
      <w:r>
        <w:t>SAĞLIK TURİZMİNİN DOĞRUDAN VE DOLAYLI EKONOMİK KATKILARI</w:t>
      </w:r>
    </w:p>
    <w:p>
      <w:r>
        <w:t>Turizm sektörünün bir ülke ekonomisine katkısı, genellikle turistlerin yaptığı harcamalar ve elde edilen döviz girdisi gibi ilk görünen göstergelerle ölçülmektedir. Sektörün gerçek ekonomik etkisi ise bu ilk harcamaların tetiklediği ve ekonominin geneline yayılan zincirleme reaksiyonlarla çok daha geniştir. Bu bütüncül etki, literatürde doğrudan, dolaylı ve uyarılmış etkiler olmak üzere üç temel başlık altında incelenmektedir (Vellas, 2011, s. 4). Sağlık turizmi; yüksek katma değerli yapısı, diğer sektörlerle olan güçlü bağları ve görece yüksek harcama potansiyeli nedeniyle bu ekonomik etkilerin daha belirgin gözlemlendiği bir alan olarak değerlendirilmektedir. Bu bölümde, sağlık turizminin ekonomik etkileri bu üçlü sınıflandırma temelinde kuramsal bir çerçeveye oturtulacaktır.</w:t>
      </w:r>
    </w:p>
    <w:p>
      <w:r>
        <w:t>Doğrudan Ekonomik Etkiler</w:t>
      </w:r>
    </w:p>
    <w:p>
      <w:r>
        <w:t>Turizmin doğrudan ekonomik etkileri, turistlerin ziyaret ettikleri ülkede turizm sektörüyle doğrudan ilişkili mal ve hizmetler için yaptıkları harcamalardan oluşur (Vellas, 2011, s. 4). Sağlık turizmi özelinde bu harcamaların başında, hastaların aldıkları tıbbi hizmetler için ödedikleri ücretler gelmektedir. Bu ücretler, ameliyat, teşhis, tedavi, rehabilitasyon ve diş hekimliği gibi geniş bir yelpazedeki tıbbi işlemleri kapsar (KILAVUZ, 2018, s. 45). Örneğin Türkiye'de kalp bypass ameliyatının maliyetinin 11.000-15.000 ABD doları aralığında olması, ABD'deki 130.000 dolarlık maliyete kıyasla önemli bir fiyat avantajı sunmakta ve bu durum, doğrudan harcamanın büyüklüğünü göstermektedir (Omay, 2013, s. 428).</w:t>
      </w:r>
    </w:p>
    <w:p>
      <w:r>
        <w:t>Doğrudan etkiler yalnızca tıbbi harcamalarla sınırlı değildir. Sağlık turistleri ve refakatçileri, tedavi süreçleri boyunca konaklama, yeme-içme, yerel ulaşım, iletişim ve alışveriş gibi bir dizi hizmetten de faydalanmaktadır (Lunt, 2012, s. 34). Bu harcamalar, turizm gelirlerinin önemli bir bileşenini oluşturur. Sağlık turizminde ortalama kalış süresinin geleneksel turizme göre daha uzun olabildiği dikkate alındığında, bu etkinin boyutu daha da artmaktadır. Yapılan bir çalışmada, diş tedavileri için ortalama kalış süresinin yedi gece, göz tedavileri için üç gece olduğu, onkolojik tedavilerde ise bu sürenin bir ayı bulabildiği gözlenmiştir (KOSTAK, 2007, s. 145). Bu durum, sağlık turistlerinin kişi başı harcamasının, ortalama 651 dolar olan genel turist harcamasının oldukça üzerine çıkmasını sağlamaktadır (KOSTAK, 2007, s. 142, 145).</w:t>
      </w:r>
    </w:p>
    <w:p>
      <w:r>
        <w:t>Türkiye’nin sağlık turizmi gelirlerindeki artış da bu durumu desteklemektedir. Ülkenin sağlık turizmi geliri 2015 yılında yaklaşık 638 milyon dolar iken, bu rakam 2019'da 1,4 milyar doları aşmış ve COVID-19 pandemisinin etkilerine rağmen toparlanarak 2023 yılında 2,3 milyar dolara ulaşmıştır (Okur &amp; Ergül, 2025, s. 1024). Bu veriler, doğrudan ekonomik etkinin büyüklüğünü ve zaman içindeki artış eğilimini göstermektedir. Dolayısıyla doğrudan etkiler, sağlık turizminin ekonomik yapısının temelini oluşturan ve diğer etkileri tetikleyen başlangıç noktasıdır.</w:t>
      </w:r>
    </w:p>
    <w:p>
      <w:r>
        <w:t>Dolaylı Ekonomik Etkiler</w:t>
      </w:r>
    </w:p>
    <w:p>
      <w:r>
        <w:t>Sağlık turizminin ekonomik katkısı, turistlerin yaptığı ilk harcamaların çok ötesine uzanır. Dolaylı etkiler, turizm sektöründeki işletmelerin (hastaneler, oteller, restoranlar vb.) üretimlerini gerçekleştirmek için tedarik zincirleri aracılığıyla diğer sektörlerden satın aldıkları ara mal ve hizmetleri ifade eder (Vellas, 2011, s. 4). Bu harcamalar, turizm gelirinin ekonominin daha derin katmanlarına yayılmasını sağlayan bir mekanizma işlevi görür.</w:t>
      </w:r>
    </w:p>
    <w:p>
      <w:r>
        <w:t>Sağlık turizmi özelinde bu etki oldukça belirgindir. Örneğin, uluslararası hastalara hizmet veren bir hastane, faaliyetlerini sürdürebilmek için ilaç sanayisinden farmasötik ürünler, tıbbi cihaz üreticilerinden ileri teknoloji ekipmanlar, tekstil sektöründen nevresim ve üniforma, gıda sektöründen yiyecek ve içecek, temizlik sektöründen ise hijyen malzemeleri satın alır. Benzer şekilde, sağlık turistlerini ağırlayan bir otel, yerel çiftçilerden gıda ürünleri, mobilya üreticilerinden donanım ve inşaat sektöründen bakım-onarım hizmetleri talep eder. Bu satın almalar, sağlık sektörü dışındaki çok sayıda işletme için bir gelir kaynağı oluşturur ve bu işletmelerin de kendi üretimlerini ve istihdamlarını artırmasına yol açar (KILAVUZ, 2018, s. 46).</w:t>
      </w:r>
    </w:p>
    <w:p>
      <w:r>
        <w:t>Bu durum, turizmin diğer ekonomik faaliyetlerle entegrasyonunu güçlendirir. Mainil (2017), dolaylı etkinin istihdam üzerindeki gücünü vurgularken Almanya'daki kaplıca (spa) turizminin dolaylı olarak yaklaşık 350.000 kişilik bir istihdam yaratabildiğini belirtmektedir (s. 42). Dolaylı etkilerin büyüklüğü, büyük ölçüde turizm sektörünün yerel ekonomiyle ne kadar bütünleştiğine bağlıdır. Sağlık tesisleri ve konaklama işletmeleri ihtiyaçlarını yerli üreticilerden karşılarsa, ekonomik fayda ülke içinde kalır. Vellas (2011), bu nedenle yerel tedarikin teşvik edilmesinin turizm gelirlerinin ekonomik etkisini en üst düzeye çıkarmak için hayati önem taşıdığını savunmaktadır (s. 4). Aksi takdirde, ithal ürünlere ve hizmetlere dayalı bir turizm modeli "sızıntı" (leakage) olarak bilinen olguya yol açar ve turizm gelirlerinin önemli bir kısmının ülke dışına çıkmasına neden olur. Özellikle kitle turizminde kullanılan ve dışsallıkları düşük olan paket tur sistemlerinde bu riskin yüksek olduğu belirtilmektedir (KOSTAK, 2007, s. 142).</w:t>
      </w:r>
    </w:p>
    <w:p>
      <w:r>
        <w:t>Uyarılmış Ekonomik Etkiler</w:t>
      </w:r>
    </w:p>
    <w:p>
      <w:r>
        <w:t>Turizm ekonomisindeki zincirleme reaksiyonun son ve en geniş halkasını uyarılmış etkiler meydana getirir. Bu etkiler, çarpan etkisi (multiplier effect) olarak da bilinen olgunun temelini oluşturur. Doğrudan ve dolaylı etkilerin bir sonucu olarak ortaya çıkan bu etki, turizm sektöründe (örneğin bir cerrah) ve bu sektöre mal veya hizmet sağlayan bağlantılı sektörlerde (örneğin bir medikal tekstil fabrikası işçisi) çalışanların elde ettikleri ücret, maaş ve kâr gibi gelirleri yerel ekonomide harcamalarıyla oluşur (Vellas, 2011, s. 4). Başka bir deyişle, bu bireylerin maaşlarını market alışverişi, kira, eğitim veya eğlence gibi alanlarda kullanması, ekonomide yeni bir talep ve gelir döngüsü yaratarak turizm harcamasının başlangıçtaki etkisini katbekat artırır.</w:t>
      </w:r>
    </w:p>
    <w:p>
      <w:r>
        <w:t>Çarpan etkisinin büyüklüğü, turizmden elde edilen gelirin ekonomi içinde kaç kez el değiştirdiğini ölçer. Bu etkinin hesaplanmasındaki temel mantık, ekonomiye giren yeni paranın ne kadarının yeniden harcandığına (marjinal tüketim eğilimi) ve ne kadarının sistem dışına çıktığına (sızıntılar) dayanır. Tasarruf edilen, vergilere giden veya ithal mal ve hizmetleri satın almak için kullanılan her birim para, çarpan döngüsünden çıkan bir sızıntı (leakage) olarak kabul edilir (KOSTAK, 2007, s. 142). Bu nedenle, turizm modelinin yerel tedarik zincirlerine ne kadar entegre olduğu, çarpan katsayısının büyüklüğünü doğrudan belirler. Yerli üretim ve hizmet tüketimi ne kadar yüksekse sızıntı o kadar az, dolayısıyla çarpan etkisi de o kadar büyük olur.</w:t>
      </w:r>
    </w:p>
    <w:p>
      <w:r>
        <w:t>Bu harcama döngüsü, turizmden elde edilen gelirin ilk etkisinin çok ötesinde bir ekonomik canlılık meydana getirir. Örneğin, sağlık turizmi sayesinde artan gelirle maaşını alan bir hemşire, yerel bir restoranda yemek yediğinde restoran sahibinin gelirini artırır. Restoran sahibi de bu gelirle tedarikçisine ödeme yapar ve bu zincir, paranın her el değiştirmesinde küçülerek de olsa devam eder. Bu süreç, ekonominin genelinde tüketimi, üretimi ve dolayısıyla istihdamı canlandırır. KILAVUZ (2018), bu durumu "çarpan etkisi" olarak tanımlamakta ve turizmin gelişiminin ülke kalkınmasına bu mekanizma aracılığıyla katkıda bulunduğunu ifade etmektedir (s. 46).</w:t>
      </w:r>
    </w:p>
    <w:p>
      <w:r>
        <w:t>Ekonomik Etkilerin Ölçümü ve Karmaşıklığı</w:t>
      </w:r>
    </w:p>
    <w:p>
      <w:r>
        <w:t>Turizmin bu üç katmanlı ekonomik etkisinin toplam büyüklüğünü ölçmek, politika yapıcılar için sektörün önemini anlamak ve doğru teşvik mekanizmalarını geliştirmek açısından gereklidir. Bu etkinin ölçümünde ilk adım, Dünya Turizm Örgütü (DTÖ) tarafından geliştirilen ve uluslararası kabul görmüş bir metodoloji olan Turizm Uydu Hesapları (Tourism Satellite Accounts, TSA) sistemidir (Vellas, 2011, s. 4). TSA, bir ülkenin ulusal muhasebe sistemine entegre bir şekilde turizmin Gayrisafi Yurt İçi Hasıla (GSYİH) ve istihdam gibi makroekonomik göstergelere olan doğrudan katkısını hassas bir şekilde hesaplar. Dolaylı ve uyarılmış etkileri, dolayısıyla çarpan katsayılarını hesaplamak için ise genellikle TSA verilerini temel alan girdi-çıktı (input-output) tabloları kullanılır (Vellas, 2011, s. 5). Girdi-çıktı analizi, bir ekonomideki farklı sektörler arasındaki mal ve hizmet akışlarını matematiksel bir modelle gösterir. Bu model, turizm sektörüne yapılan bir birimlik harcamanın (doğrudan etki), tedarikçi sektörlerde (dolaylı etki) ve hanehalkı gelirlerinin yeniden harcanmasıyla (uyarılmış etki) ne kadar ek ekonomik aktivite yarattığını hesaplayarak spesifik gelir, istihdam ve üretim çarpanları türetilmesine olanak tanır.</w:t>
      </w:r>
    </w:p>
    <w:p>
      <w:r>
        <w:t>Bununla birlikte, sağlık turizminin ekonomik etkilerini analiz ederken resmin tamamını görmek için bazı zorlukları ve olumsuz potansiyelleri de göz önünde bulundurmak gerekir. Öncelikle, sağlık turizmini geliştirmek için yapılan yatırımların bir maliyeti bulunmaktadır. Yeni hastanelerin inşası, mevcut tesislerin modernizasyonu, ileri teknoloji tıbbi cihazların ithalatı ve uluslararası akreditasyonların (örneğin JCI akreditasyonu) alınması ciddi bir finansal kaynak gerektirir (Lunt, 2012, s. 35). Bu maliyetler, elde edilecek gelirin net faydasını değerlendirirken hesaba katılmalıdır.</w:t>
      </w:r>
    </w:p>
    <w:p>
      <w:r>
        <w:t>İkinci olarak, "iç beyin göçü" (internal brain drain) riski bulunmaktadır. Sağlık turizmine odaklanan özel hastanelerin sunduğu daha iyi maaş ve çalışma koşulları, kamu sağlık sistemindeki nitelikli hekim ve sağlık personelini bu kurumlara çekebilir (Lunt, 2012, s. 35). Bu durum, kamu hizmetlerinin kalitesinde bir düşüşe ve yerel halkın sağlık hizmetlerine erişiminde zorluklara yol açma potansiyeli taşır.</w:t>
      </w:r>
    </w:p>
    <w:p>
      <w:r>
        <w:t>Son olarak, Okur ve Ergül (2025) tarafından yapılan ve Türkiye'nin 2010-2023 dönemini kapsayan ekonometrik bir çalışma, konunun karmaşıklığına dikkat çeken bulgular ortaya koymuştur. Bu çalışmada, ekonomik büyümeden (sanayi üretim endeksi ile temsil edilen) sağlık turizmi gelirlerine doğru bir nedensellik ilişkisi tespit edilirken, sağlık turizmi gelirlerinden ekonomik büyümeye doğru anlamlı bir nedensellik bulunamamıştır (Okur &amp; Ergül, 2025, s. 1023). Bu bulgu, sağlık turizmi gelirlerinin ekonomik büyümeyi doğrudan tetiklemediğini, aksine mevcut ekonomik konjonktürden ve özellikle reel efektif döviz kurundaki değişimlerden daha fazla etkilendiğini düşündürmektedir. Nitekim aynı çalışmada, döviz kurundaki artışların Türkiye'deki sağlık hizmetlerini yabancılar için ucuzlatmasıyla sağlık turizmi gelirleri arasında bir ilişki olduğu saptanmıştır (Okur &amp; Ergül, 2025, s. 1023). Bu sonuç, sağlık turizmi gelirlerinin tek başına bir büyüme motoru olmaktan çok, daha geniş makroekonomik dinamiklerin bir parçası olabileceğini göstermektedir.</w:t>
      </w:r>
    </w:p>
    <w:p>
      <w:r>
        <w:t>Sağlık turizminin bir ülkeye olan ekonomik katkısı, doğrudan gelirlerin çok ötesinde, dolaylı ve uyarılmış etkilerle birlikte bütüncül bir yaklaşımla değerlendirilmelidir. Çarpan etkisi sayesinde sektör, istihdamdan imalata kadar geniş bir alanda ekonomik aktiviteyi canlandırma potansiyeline sahiptir. Ancak bu potansiyelin tam olarak hayata geçirilmesi; sızıntıları en aza indirecek yerel tedarik zincirlerinin kurulmasına, yatırım maliyetlerinin doğru analiz edilmesine ve olası olumsuz sosyal etkilerin (iç beyin göçü gibi) yönetilmesine bağlıdır.</w:t>
      </w:r>
    </w:p>
    <w:p>
      <w:pPr>
        <w:pStyle w:val="Heading2"/>
      </w:pPr>
      <w:bookmarkStart w:id="112" w:name="_Toc_heading_12"/>
      <w:r>
        <w:t>3.2. Döviz Gelirleri ve Dış Ticaret Dengesine Etkisi</w:t>
      </w:r>
      <w:bookmarkEnd w:id="112"/>
    </w:p>
    <w:p>
      <w:r>
        <w:t>Hizmet ihracatı, özellikle Türkiye gibi yapısal dış ticaret açığı veren ekonomiler için stratejik bir döviz kaynağı olarak kabul edilmektedir. Turizm sektörü, bu kapsamda ödemeler dengesi açıklarının kapatılmasında tarihsel olarak önemli bir işlev görmüştür (KOSTAK, 2007, s. 2). Geleneksel turizm türlerine göre daha yüksek katma değer yaratma potansiyeli taşıması ve yılın on iki ayına yayılabilmesi nedeniyle sağlık turizmi, bu alanda giderek daha önemli bir alt sektör konumuna gelmiştir (Kuzhan, 2024, s. 35). Bu bölümde, sağlık turizminin bir hizmet ihracatı kalemi olarak Türkiye'nin döviz gelirlerine sağladığı katkı ve bu katkının ülkenin kronik dış ticaret açığının finansmanındaki rolü ele alınmıştır.</w:t>
      </w:r>
    </w:p>
    <w:p>
      <w:r>
        <w:t>Bir ülkenin belirli bir dönemdeki uluslararası ekonomik işlemlerini kayıt altına alan ödemeler dengesi bilançosu; cari işlemler, sermaye hesabı ve finansal hesap gibi ana kalemlerden oluşmaktadır (BATBAYLI, 2021, s. 55). Mal ve hizmet ihracatı ile ithalatını içeren cari hesap, dış dengenin en temel göstergelerinden biridir. Yabancılardan elde edilen gelirler alacak, yabancılara yapılan ödemeler ise borç olarak kaydedilmektedir (BATBAYLI, 2021, s. 55). Bu çerçevede, yurt dışına sunulan sağlık hizmetleri, bir hizmet ihracatı faaliyeti olarak ödemeler dengesinin cari işlemler hesabı altında alacak kalemi olarak yer almaktadır.</w:t>
      </w:r>
    </w:p>
    <w:p>
      <w:r>
        <w:t>Sağlık hizmetlerinin uluslararası sınıflandırmalardaki yeri, bu gelirlerin nasıl izlendiğini göstermesi açısından önemlidir. Uluslararası Para Fonu (IMF), sağlık hizmeti ticaretini "seyahat" ve "kişisel, kültürel ve eğlence hizmetleri" başlıkları altında sınıflandırmaktadır (BATBAYLI, 2021, s. 55). Türkiye Cumhuriyeti Ticaret Bakanlığı da bu yaklaşıma paralel olarak, hizmetlerin genişletilmiş sınıflandırmasında sağlık hizmetlerini "Turizm ve Seyahat Hizmetleri (sağlık için seyahat ve diğer)" ve "Kişisel, Kültürel ve Eğlence Hizmetleri (teletıp sağlık hizmeti ve diğer)" kategorilerine dâhil etmiştir (BATBAYLI, 2021, s. 55). Bu sınıflandırmalar, uluslararası bir hastanın Türkiye'de aldığı tıbbi hizmetlerin; konaklama, yeme-içme ve ulaşım gibi yan harcamalarla birlikte bir bütün olarak hizmet ihracatı geliri kabul edildiğini göstermektedir. Bu durum, sağlık turizminin ekonomiye katkısının sadece tıbbi tedavi ücretlerinden ibaret olmadığını ve bağlantılı birçok sektörü de olumlu etkilediğini belirtmektedir.</w:t>
      </w:r>
    </w:p>
    <w:p>
      <w:r>
        <w:t>Türkiye'nin sağlık turizminden elde ettiği döviz gelirleri, özellikle 2010'lu yılların ortasından itibaren belirgin bir artış eğilimi sergilemiştir. Gerek Türkiye İstatistik Kurumu (TÜİK) gerekse Sağlık Bakanlığı'na bağlı Uluslararası Sağlık Hizmetleri A.Ş. (USHAŞ) tarafından yayımlanan veriler, COVID-19 küresel salgınının yaşandığı 2020 yılındaki geçici düşüş haricinde, sektör gelirlerinin istikrarlı bir büyüme performansı gösterdiğini teyit etmektedir.</w:t>
      </w:r>
    </w:p>
    <w:p>
      <w:pPr>
        <w:ind w:firstLine="0"/>
        <w:jc w:val="center"/>
      </w:pPr>
      <w:r>
        <w:drawing>
          <wp:inline xmlns:a="http://schemas.openxmlformats.org/drawingml/2006/main" xmlns:pic="http://schemas.openxmlformats.org/drawingml/2006/picture">
            <wp:extent cx="5040000" cy="29400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2940000"/>
                    </a:xfrm>
                    <a:prstGeom prst="rect"/>
                  </pic:spPr>
                </pic:pic>
              </a:graphicData>
            </a:graphic>
          </wp:inline>
        </w:drawing>
      </w:r>
    </w:p>
    <w:p>
      <w:pPr>
        <w:ind w:firstLine="0"/>
        <w:jc w:val="center"/>
      </w:pPr>
      <w:r>
        <w:rPr>
          <w:i/>
          <w:sz w:val="20"/>
        </w:rPr>
        <w:t>Şekil 3. Şekil 1: Türkiye'nin Yıllara Göre Sağlık Turizmi Gelirleri (2015-2023)</w:t>
      </w:r>
    </w:p>
    <w:p>
      <w:pPr>
        <w:spacing w:after="320"/>
        <w:ind w:firstLine="0"/>
        <w:jc w:val="center"/>
      </w:pPr>
      <w:r>
        <w:rPr>
          <w:i/>
          <w:sz w:val="18"/>
        </w:rPr>
        <w:t>Kaynak: (AVŞAR, 2024, s. 709; Kuzhan, 2024, s. 34)</w:t>
      </w:r>
    </w:p>
    <w:p>
      <w:r>
        <w:t>Şekil 1'de görüldüğü üzere, Türkiye'nin sağlık turizminden elde ettiği gelir 2015 yılında yaklaşık 638 milyon dolar seviyesindeyken bu rakam 2019 yılında 1,49 milyar dolara ulaşarak önemli ölçüde artmıştır (AVŞAR, 2024, s. 709). Küresel salgının etkisiyle 2020 yılında 1,16 milyar dolara gerileyen gelirler, sektörün hızlı bir toparlanma sürecine girmesiyle birlikte 2021'de 1,72 milyar dolara, 2022'de ise 2,11 milyar dolara yükselmiştir (Kuzhan, 2024, s. 34). USHAŞ verilerine dayanan daha güncel çalışmalar, 2023 yılında bu gelirin 3 milyar doları aştığını göstermektedir (Coşkun, 2024, s. 73). Bu veriler, sağlık turizminin Türkiye ekonomisi için giderek büyüyen ve istikrarlı bir döviz girdisi kaynağı hâline geldiğini belgelemektedir. Bununla birlikte 2019-2023 Stratejik Planı'nda Sağlık Bakanlığı, 2023 yılı için sağlık turizmi geliri hedefini 10 milyar dolar olarak belirlemiş, bu da sektörün potansiyeline yönelik kamusal beklentinin ne denli yüksek olduğunu ortaya koymuştur (Kuzhan, 2024, s. 38).</w:t>
      </w:r>
    </w:p>
    <w:p>
      <w:r>
        <w:t>Bu gelir artışında Türkiye'nin sunduğu hizmet kalitesinin yanı sıra, gelişmiş ülkelere kıyasla sahip olduğu maliyet avantajı da belirleyici olmuştur. Örneğin ABD'de 250 bin dolar maliyeti olan bir kalp ameliyatının Hindistan'da 50 bin dolara yapılabildiği, benzer şekilde ABD'de pahalı olan bypass ameliyatının Türkiye'de çok daha uygun bir fiyata gerçekleştirilebildiği belirtilmektedir (Coşkun, 2024, s. 73). Fiyat rekabetçiliği, Türkiye'nin küresel pazardaki konumunu güçlendirmektedir. Nitekim 2018 yılı verilerine göre Türkiye, 1,7 milyar dolarlık sağlık turizmi geliriyle ABD (9,28 milyar dolar) ve Fransa'nın (1,85 milyar dolar) ardından dünyada en çok sağlık turizmi geliri elde eden üçüncü ülke konumunda yer almıştır (Kuzhan, 2024, s. 37). Bu sıralama, Türkiye'nin sektörde küresel bir oyuncu olduğunu teyit etmektedir.</w:t>
      </w:r>
    </w:p>
    <w:p>
      <w:r>
        <w:t>Türkiye İstatistik Kurumu (TÜİK) verileri analiz edildiğinde, sağlık turizmi gelirlerinin toplam turizm gelirleri içindeki payının da yıllar içinde artış gösterdiği görülmektedir. 2015 yılında sağlık harcamalarının toplam turizm gelirine oranı %1,96 iken bu oran 2020'de %7,86'ya, 2023'te ise %4,25'e ulaşmıştır (AVŞAR, 2024, s. 709). 2020 yılındaki oransal sıçrama, genel turizm gelirlerinin pandemi nedeniyle sert düşüşüyle ilişkili olsa da sonraki yıllarda da oranın pandemi öncesi seviyelerin üzerinde kalması, sağlık turizminin toplam turizm sepeti içindeki ağırlığının arttığını göstermektedir.</w:t>
      </w:r>
    </w:p>
    <w:p>
      <w:r>
        <w:t>Türkiye ekonomisinin uzun yıllardır devam eden en önemli yapısal sorunlarından biri cari işlemler açığıdır. Cari açık, genel olarak bir ülkenin döviz giderlerinin döviz gelirlerini aşması durumunu ifade eder ve bu açık dış borçlanma veya sermaye girişleriyle finanse edilir (IŞIK, 2021, s. 12). Bir ülkenin Gayri Safi Yurt İçi Hasılası'nın (GSYİH) %4 ila %5'i oranında cari açık vermesi kritik eşik olarak kabul edilmektedir (IŞIK, 2021, s. 14). Türkiye Cumhuriyet Merkez Bankası (TCMB) tarafından yayımlanan ödemeler dengesi istatistikleri incelendiğinde, Türkiye ekonomisinin 2008-2018 döneminde bu oranın kriz yılları haricinde genellikle kritik eşiğin üzerinde seyrettiği anlaşılmaktadır. Örneğin 2011 yılında cari dengenin GSYİH'ye oranı %8,9 gibi oldukça yüksek bir seviyeye ulaşmıştır (IŞIK, 2021, s. 15). Bu kronik sorun, döviz kuru üzerinde baskı yaratmakta ve ekonomik kırılganlıkları artırmaktadır.</w:t>
      </w:r>
    </w:p>
    <w:p>
      <w:r>
        <w:t>Bu doğrultuda, turizm gelirleri ve özelde sağlık turizminden elde edilen döviz girdileri, dış ticaret açığının finansmanında önemli bir kalem olarak değerlendirilmektedir. Turizm, "görünmeyen kalemler" olarak bilinen hizmet ticareti gelirleri sayesinde, Türkiye İstatistik Kurumu (TÜİK) tarafından raporlanan mal ticaretinden kaynaklanan açığın bir kısmını telafi etme işlevi görmektedir (KOSTAK, 2007, s. 78-79). Yapılan analizler, turizm gelirlerinin Türkiye'deki cari açığın azaltılmasına katkı sağladığını göstermektedir (BATBAYLI, 2021, s. 59). Örneğin 2018 yılında turizm gelirlerinin dış ticaret açığını kapama payı %53,54 olarak gerçekleşmiş, bu da dış ticaret açığının yarısından fazlasının turizm gelirleriyle finanse edildiği anlamına gelmektedir (IŞIK, 2021, s. 12).</w:t>
      </w:r>
    </w:p>
    <w:p>
      <w:r>
        <w:t>Sağlık turizminin bu alandaki katkısı, yalnızca mutlak gelir büyüklüğü ile değil, aynı zamanda yüksek katma değerli bir faaliyet olmasıyla da ilgilidir. Sektör yöneticileri tarafından yapılan bir değerlendirmeye göre, Türkiye'de 100 TL'lik bir mal ihracatı yapmak için ortalama 75 TL'lik ithal girdi kullanılması gerekirken sağlık turizminde bu zorunlu ithalat oranının %15-20 seviyelerine kadar düştüğü ifade edilmektedir. Bu durum, her 100 TL'lik sağlık turizmi gelirinin yaklaşık 80 TL'sinin net kazanç olarak ülke ekonomisinde kaldığı anlamına gelmektedir (DEMİREL, 2023, s. 6-7). Dolayısıyla sağlık turizmi, döviz kazandırıcı etkisinin yanı sıra dışa bağımlılığı düşük ve net döviz girdisi yüksek bir sektör olmasıyla da önem kazanmaktadır. Bu özellik, sağlık turizminin bütçe ve cari açık sorunu yaşayan Türkiye gibi ekonomiler için "hayati bir öneme" sahip olduğunu göstermektedir (DEMİREL, 2023, s. 7).</w:t>
      </w:r>
    </w:p>
    <w:p>
      <w:r>
        <w:t>Alanyazında yapılan ekonometrik çalışmalar da bu ilişkiyi destekler niteliktedir. Örneğin, Kaya tarafından yapılan ve 2003-2016 dönemi verilerini inceleyen bir çalışmada, sağlık hizmeti ihracatı gelirlerinden GSYİH'ye doğru bir nedensellik ilişkisi saptanmıştır. Bu bulgu, sağlık turizmi gelirlerinin ekonomik büyümeyi pozitif yönde etkilediğini göstermektedir (BATBAYLI, 2021, s. 112-113). Benzer şekilde, Okur ve Ergül (2025) tarafından yapılan frekans alanı nedensellik analizi, ekonomik büyümeyi temsil eden sanayi üretim endeksinden sağlık turizmi gelirlerine doğru tek yönlü bir nedensellik olduğunu, yani ekonomik büyümenin sağlık turizmi gelirlerini artırdığını saptamıştır (OKUR, 2025, s. 12). Bu çalışmalar, sağlık turizmi ile makroekonomik değişkenler arasında karmaşık fakat genel olarak pozitif bir ilişki bulunduğunu düşündürmektedir.</w:t>
      </w:r>
    </w:p>
    <w:p>
      <w:r>
        <w:t>Sağlık turizminin Türkiye ekonomisi için giderek önem kazanan bir döviz geliri kalemi olduğu anlaşılmaktadır. Sektörden elde edilen gelirler hem mutlak değer olarak artmakta hem de toplam turizm gelirleri içindeki payını yükseltmektedir. Yüksek katma değerli yapısı sayesinde sağladığı net döviz girdisi, Türkiye'nin en önemli makroekonomik sorunlarından biri olan cari işlemler açığının finanse edilmesine doğrudan katkı sağlamaktadır. Bu nedenle, sektörün gelişimine yönelik devlet desteklerinin ve stratejik planların devamlılığının, dış ekonomik dengelerin daha sürdürülebilir bir yapıya kavuşturulması açısından önemli olduğu söylenebilir.</w:t>
      </w:r>
    </w:p>
    <w:p>
      <w:pPr>
        <w:pStyle w:val="Heading2"/>
      </w:pPr>
      <w:bookmarkStart w:id="113" w:name="_Toc_heading_13"/>
      <w:r>
        <w:t>3.3. İstihdam Yaratma ve Bölgesel Kalkınmaya Etkisi</w:t>
      </w:r>
      <w:bookmarkEnd w:id="113"/>
    </w:p>
    <w:p>
      <w:r>
        <w:t>Sağlık turizmi, ülke ekonomilerine çok yönlü katkılar sunar. Bu katkılar hem döviz girdisi ve milli gelir artışı hem de istihdam yaratma ve bölgesel kalkınmayı teşvik etme yoluyla gerçekleşir. Turizm sektörü, yapısı itibarıyla emek yoğun bir faaliyet alanıdır (KOSTAK, 2007, s. 21). Bu genel çerçevede sağlık turizmi ise sunduğu hizmetlerin niteliği gereği daha yüksek katma değer yaratmakta ve istihdam üzerindeki etkisini daha geniş bir alana yaymaktadır.</w:t>
      </w:r>
    </w:p>
    <w:p>
      <w:r>
        <w:t>Sağlık turizminin istihdam etkisi üç düzeyde incelenir. Bu etki, alanyazında genel kabul gören bir sınıflandırmayla doğrudan, dolaylı ve uyarılmış istihdam olarak ayrıştırılmakta olup, bu düzeyler sektörün ekonomiyle bağlarını ve yarattığı çarpan etkisini göstermektedir (Sancar, 2025, s. 49; Eryer, 2024, s. 77).</w:t>
      </w:r>
    </w:p>
    <w:p>
      <w:r>
        <w:t>Doğrudan istihdam, sağlık turizmi faaliyetlerinin özünü oluşturan işletmelerde yaratılan iş olanaklarını kapsar; bu grupta hekimler, hemşireler, hasta danışmanları, tercümanlar, idari personel ile sağlık turistlerine hizmet veren konaklama tesisleri, seyahat acenteleri ve ulaşım şirketlerindeki çalışanlar bulunur (Sancar, 2025, s. 49). Bu durum, özellikle tercümanlık gibi yeni uzmanlık alanları yaratmıştır. Zira uluslararası hastalar dil ve kültür aracılığı hizmetlerine ihtiyaç duyar. Hizmet kalitesini artırmak için bu alandaki tercümanların özel eğitim alması gerektiği belirtilmektedir (Solak, 2011, s. 625).</w:t>
      </w:r>
    </w:p>
    <w:p>
      <w:r>
        <w:t>Dolaylı istihdam, sağlık turizmi sektörünün faaliyetlerini sürdürebilmesi için mal ve hizmet tedarik eden yan sektörlerdeki istihdam artışını ifade etmektedir. Sağlık tesislerinin inşası ve bakımı için inşaat, tıbbi cihaz ve sarf malzemeleri için imalat, tesislere gıda ve tekstil ürünleri sağlayan tarım ve tekstil sektörleri bu kapsamda değerlendirilir (Sancar, 2025, s. 49). Örneğin, yeni bir hastane yatırımı, inşaat işçilerinden mühendislere, tıbbi teknoloji firmalarındaki teknik personelden mobilya üreticilerine kadar geniş bir alanda dolaylı iş imkânı yaratır. Bu etki, sağlık turizminin hem hizmet sektörünü hem de ekonominin üretim kanallarını beslediğini göstermektedir.</w:t>
      </w:r>
    </w:p>
    <w:p>
      <w:r>
        <w:t>Uyarılmış istihdam ise doğrudan ve dolaylı istihdam edilen kişilerin elde ettikleri gelirleri harcamaları sonucu ekonomide oluşan ek talebin yarattığı yeni iş olanaklarıdır (Eryer, 2024, s. 77). Sağlık turizmi sayesinde gelirini artıran bir hekimin veya otel çalışanının yaptığı harcamalar, yerel esnaf, restoranlar, eğlence merkezleri ve diğer hizmet sağlayıcılar için gelir kaynağı oluşturur. Bu durum, ekonomide bir “kelebek etkisi” yaratarak büyümenin tabana yayılmasına zemin hazırlar (Kuzhan, 2024, s. 35).</w:t>
      </w:r>
    </w:p>
    <w:p>
      <w:r>
        <w:t>Türkiye’de turizm sektörünün istihdamdaki payı zamanla artmıştır. 2010 yılı verilerine göre turizm sektöründe çalışanların toplam istihdam içindeki payı %5,21 olarak belirlenmiştir (Mert, 2013, s. 9). Daha güncel veriler bu oranın yükseldiğini göstermektedir; 2016 yılında seyahat ve turizm sektörünün toplam istihdama katkısının %8,1 olduğu ve 2.197.500 kişiye iş olanağı sağladığı rapor edilmiştir (KILAVUZ, 2018, s. 49). Sağlık turizmi özelinde yapılan değerlendirmeler, bu alanın yaklaşık 200.000 kişiye doğrudan veya dolaylı istihdam sağladığını göstermektedir (Tamer, 2026, s. 5). Bu rakamlar, sektörün Türkiye ekonomisi için stratejik önemini ve işsizliği azaltma potansiyelini ortaya koyar. Yapılan çalışmalar da işsizliğin azaltılmasını, sağlık turizminin geliştirilmesiyle hedeflenen temel amaçlardan biri olarak tanımlamaktadır (Sancar, 2025, s. 49).</w:t>
      </w:r>
    </w:p>
    <w:p>
      <w:r>
        <w:t>Sağlık turizmi yatırımları, hem ulusal düzeyde ekonomik büyümeye katkı sağlar hem de bölgesel kalkınma farklılıklarının azaltılması ve belirli bölgelerin uzmanlaşarak markalaşması için bir araç işlevi görür. Türkiye’de sağlık turizmi faaliyetleri büyük ölçüde İstanbul, Ankara ve Antalya gibi metropollerde yoğunlaşsa da termal kaynaklara sahip bölgeler ve yeni gelişen sağlık merkezleri bölgesel kalkınma potansiyeli taşımaktadır.</w:t>
      </w:r>
    </w:p>
    <w:p>
      <w:r>
        <w:t>Bu duruma somut bir örnek, TR21 Düzey 2 Bölgesi olarak adlandırılan Trakya’da (Edirne, Kırklareli, Tekirdağ) yürütülen çalışmalardır. Trakya Kalkınma Ajansı, 2017 yılından itibaren sağlık turizmini bölgesel kalkınmanın stratejik bir bileşeni olarak belirlemiş ve bu alanda çeşitli faaliyetler başlatmıştır (ŞAHİN, 2026, s. 6). Ajansın koordinasyonunda yürütülen eğitim, tanıtım, pazarlama ve iş birliği geliştirme faaliyetleri, bölgenin sağlık turizmi kapasitesini artırmıştır. Bu çabalar sonuç vermiştir. Aralık 2025 itibarıyla bölgede 41 özel hastane/klinik, 4 kamu hastanesi, 2 üniversite hastanesi ve 25 sağlık turizmi aracı kurumu olmak üzere toplam 72 yetki belgeli aktör faaliyete geçmiştir (ŞAHİN, 2026, s. 7). Yapılan etki analizi, bu stratejik yönelimin somut ekonomik sonuçlar doğurduğunu ortaya koymaktadır: 2017–2025 döneminde bölgeye gelen 50.576 sağlık turisti, toplamda 109.835.519 ABD doları gelir yaratmıştır (ŞAHİN, 2026, s. 4). Bu veriler, odaklanmış ve planlı bir stratejinin bir bölgenin ekonomik geleceğini nasıl değiştirebileceğini göstermesi açısından önemlidir. Önceki değerlendirmelerde, sanayisi gelişmiş olan Tekirdağ’ın sağlık altyapısı açısından yatırıma ihtiyaç duyduğu belirtilmekteydi (Mert, 2013, s. 11). Trakya Kalkınma Ajansının çalışmaları, bu tür eksikliklerin giderilmesine yönelik somut adımlar olarak değerlendirilebilir.</w:t>
      </w:r>
    </w:p>
    <w:p>
      <w:r>
        <w:t>Bölgesel kalkınma açısından bir diğer önemli alan termal turizmdir. Türkiye, jeotermal kaynak zenginliği bakımından dünyada yedinci, Avrupa’da ise birinci sırada yer almasına karşın bu potansiyelini uzun yıllar tam olarak değerlendirememiştir (KOSTAK, 2007, s. 21; TENGİLİMOĞLU, 2021, s. 5). Termal tesisler genellikle büyük şehirlerin dışında, kırsal ve doğal zenginliklere sahip bölgelerde kurulur. Bu durum, geri kalmış yörelerin kalkındırılması için bir fırsat yaratır (KOSTAK, 2007, s. 24). Türkiye’de kaplıca turizminin bölgesel kalkınma aracı olarak kullanılmasına yönelik çabaların tarihi Cumhuriyet’in ilk yıllarına kadar uzanmaktadır. Özellikle 1963-1983 döneminde gündeme gelen “sosyal termalizm” yaklaşımı, Gönen Termal Su Şehri Nazım İmar Planı gibi çalışmalarla somutlaşmıştır. Bu planlar, yerel halkın konutlarını pansiyon olarak işletmeye açmasını teşvik ederek hem konaklama kapasitesini artırmayı hem de yerel ekonomiyi canlandırmayı hedeflemiştir (GÜLENÇ, 2023, s. 8).</w:t>
      </w:r>
    </w:p>
    <w:p>
      <w:r>
        <w:t>Ancak termal bölgelerin kalkınmasının önünde bazı yapısal sorunlar da bulunmaktadır. Ankara çevresindeki Haymana, Kızılcahamam ve Beypazarı gibi termal merkezlerde yapılan bir araştırma, bu bölgelerin potansiyelinin altında kalmasının nedenleri arasında yetersiz mevzuat, alanında uzman sağlık personeli ve insan kaynağı eksikliği, ulaşım zorlukları ve altyapı yetersizlikleri gibi faktörlerin bulunduğunu saptamıştır (ARIKAN, 2017, s. 122). Bu durum, bölgesel kalkınmanın hem doğal kaynak varlığına hem de planlı yatırım, nitelikli insan gücü ve kurumsal altyapıya bağlı olduğunu göstermektedir.</w:t>
      </w:r>
    </w:p>
    <w:p>
      <w:r>
        <w:t>Sağlık turizminin istihdam yaratma ve bölgesel kalkınmayı tetikleme potansiyeli yüksektir. Sektör, hekimlerden otel personeline, inşaat işçilerinden yazılım geliştiricilere kadar geniş bir alanda iş olanağı yaratmaktadır. Trakya örneğinde görüldüğü gibi, bölgesel kalkınma ajansları ve yerel paydaşların ortak bir vizyonla hareket etmesi, sağlık turizmini sürdürülebilir bir bölgesel kalkınma modeline dönüştürebilir. Bununla birlikte, bu potansiyelin tam olarak kullanılabilmesi için termal bölgelerdeki yapısal sorunların çözülmesi ve yatırımların ülke geneline daha dengeli yayılmasını sağlayacak “destinasyon çeşitlendirme” stratejilerinin hayata geçirilmesi gerekmektedir (Tamer, 2026, s. 6).</w:t>
      </w:r>
    </w:p>
    <w:p>
      <w:r>
        <w:br w:type="page"/>
      </w:r>
    </w:p>
    <w:p>
      <w:pPr>
        <w:pStyle w:val="Heading1"/>
      </w:pPr>
      <w:bookmarkStart w:id="114" w:name="_Toc_heading_14"/>
      <w:r>
        <w:t>Sonuç ve Öneriler</w:t>
      </w:r>
      <w:bookmarkEnd w:id="114"/>
    </w:p>
    <w:p>
      <w:r>
        <w:t>Bu yüksek lisans tezinde, Türkiye’de sağlık turizminin gelişim süreci ve ülke ekonomisine etkileri literatür temelinde incelenmiştir. Çalışmada sağlık turizminin kavramsal çerçevesi, Türkiye'deki ve dünyadaki gelişim dinamikleri, ekonomik katkıları ve ülkenin rekabetçi konumu analiz edilmiştir. Bulgular, Türkiye’nin son yirmi yılda sağlık turizmini ulusal bir kalkınma politikası olarak benimsediğini ve küresel ölçekte önemli bir aktör hâline geldiğini göstermektedir. Bu başarının sürdürülebilirliği, mevcut yapısal sorunların giderilmesine ve risklerin yönetilmesine bağlıdır.</w:t>
      </w:r>
    </w:p>
    <w:p>
      <w:r>
        <w:t>Sağlık turizminin tek bir faaliyetten oluşmadığı, katmanlı bir yapıya sahip olduğu belirlenmiştir. Bu yapı; kanıta dayalı tıbbi müdahaleleri içeren medikal turizmi, doğal kaynaklara dayalı termal ve SPA-wellness turizmini ve demografik dönüşümlerle şekillenen ileri yaş ile engelli turizmini kapsamaktadır. Uluslararası hastaların destinasyon tercihinde en önemli etkenin maliyet avantajı olduğu saptanmıştır. Ancak maliyet tek başına yeterli değildir. Hizmet kalitesi, ileri teknolojiye sahip sağlık altyapısı, kısa bekleme süreleri ve uluslararası akreditasyonlar (özellikle JCI akreditasyonu) hasta güvenini kazanmada belirleyicidir.</w:t>
      </w:r>
    </w:p>
    <w:p>
      <w:r>
        <w:t>Türkiye’de sağlık turizminin gelişimi kendiliğinden bir süreç değildir. Bu gelişme, 2000’li yıllardan itibaren benimsenen bilinçli ve çok aşamalı bir devlet politikasının ürünüdür. Sağlıkta Dönüşüm Programı ile başlayan kurumsallaşma adımları, sektörün büyümesinde belirleyici olmuştur. Sağlık Turizmi Daire Başkanlığı ve USHAŞ gibi kurumlar bu süreçte kurulmuştur. Devlet teşvikleri de özel sektörün uluslararası pazarlara açılmasını kolaylaştırmış ve rekabet gücünü artırmıştır. Bu politikalar sonuç vermiştir. Son on yılda sağlık turisti sayısı ve sektör gelirleri istikrarlı bir artış göstermiştir. 2023 itibarıyla ziyaretçi sayısı yaklaşık 1,4 milyona, gelir ise 2,3 milyar doların üzerine çıkmıştır.</w:t>
      </w:r>
    </w:p>
    <w:p>
      <w:r>
        <w:t>Sağlık turizminin Türkiye ekonomisine katkısı, doğrudan döviz gelirlerinin ötesindedir. Emek yoğun bir yapıya sahip olan sektör, doğrudan istihdam yaratmaktadır. Buna ek olarak, inşaattan tekstile, gıdadan teknolojiye kadar pek çok tedarikçi sektörde dolaylı istihdam oluşturmaktadır. Sektör çalışanlarının harcamalarıyla oluşan uyarılmış etkiler ise ekonomik canlılığı tabana yayan bir çarpan mekanizması işlevi görür. Sağlık hizmeti ihracatının ithal girdi bağımlılığı mal ihracatına göre düşüktür. Bu sayede elde edilen döviz gelirinin büyük kısmı net kazanç olarak ülke ekonomisinde kalır. Bu durum, sağlık turizmini Türkiye’nin kronik cari işlemler açığının finansmanında stratejik bir araç hâline getirir.</w:t>
      </w:r>
    </w:p>
    <w:p>
      <w:r>
        <w:t>Yapılan GZFT analizi, Türkiye'nin sektördeki konumunu ortaya koymuştur. Güçlü yönler arasında uygun maliyetler, modern hastaneler, nitelikli hekim kadrosu, coğrafi konum ve zengin turizm olanakları bulunmaktadır. Öte yandan, sektörün potansiyelinin altında kalmasına neden olan zayıf yönler de mevcuttur. Bunlar; bütüncül bir pazarlama stratejisinin eksikliği, kurumlar arası koordinasyon zayıflığı, personelin yabancı dil yetersizliği ve hizmet standartlarındaki eksikliklerdir.</w:t>
      </w:r>
    </w:p>
    <w:p>
      <w:r>
        <w:t>Bu bulgular, sektörün sürdürülebilir büyümesi için çeşitli adımlar atılması gerektiğini göstermektedir.</w:t>
      </w:r>
    </w:p>
    <w:p>
      <w:r>
        <w:t>ÖNERİLER</w:t>
      </w:r>
    </w:p>
    <w:p>
      <w:r>
        <w:t>Politika Yapıcılara Yönelik Öneriler</w:t>
      </w:r>
    </w:p>
    <w:p>
      <w:r>
        <w:t>Türkiye’nin sağlık turizmindeki başarısını duyurmak için bütüncül bir ulusal markalaşma stratejisi geliştirilmelidir. Bu strateji, dağınık tanıtım faaliyetleri yerine kamu ve özel sektör ortaklığında yürütülmelidir. “HealthTürkiye” gibi mevcut markaların içeriği zenginleştirilerek hedef pazarlara yönelik profesyonel, çok dilli ve segmentlere özel dijital pazarlama kampanyaları tasarlanmalıdır.</w:t>
      </w:r>
    </w:p>
    <w:p>
      <w:r>
        <w:t>Çeşitli bakanlıklar, USHAŞ, kalkınma ajansları ve özel sektör arasındaki koordinasyon eksikliği giderilmelidir. Bu amaçla, tüm paydaşların katılımıyla bağlayıcı bir “Sağlık Turizmi Ulusal Eylem Planı” hazırlanmalıdır. Böyle bir plan, kaynakların verimli kullanılmasını sağlar ve sektörü ortak bir vizyon etrafında birleştirir.</w:t>
      </w:r>
    </w:p>
    <w:p>
      <w:r>
        <w:t>Sektörün uzun vadeli başarısı, hizmet kalitesine ve güvenilirliğine bağlıdır. Bu doğrultuda, uluslararası sağlık turizmi yetki belgesine sahip kuruluşlar için hizmet standartları, fiyatlandırma politikaları ve etik kurallar net olarak tanımlanmalıdır. Bu standartlara uyum etkin bir şekilde denetlenmelidir. Olası tıbbi uygulama hataları ve uyuşmazlıkların çözümü için de bir mekanizma gereklidir. Bu mekanizma, hastanın haklarını korurken ülke imajını zedelemeyecek şekilde şeffaf ve hızlı işlemelidir.</w:t>
      </w:r>
    </w:p>
    <w:p>
      <w:r>
        <w:t>Sağlık turizmi yatırımları İstanbul, Ankara ve Antalya gibi büyükşehirlerde yoğunlaşmaktadır. Bu durum, diğer bölgelerdeki potansiyelin atıl kalmasına neden olur. Özellikle Afyonkarahisar, Denizli, Bursa ve Yalova gibi termal kaynaklarca zengin bölgelerin kalkındırılması için özel yatırım ve teşvik programları geliştirilmelidir. Bu programlar altyapı, ulaşım ve nitelikli personel ihtiyaçlarını gidermelidir. Termal turizm, medikal rehabilitasyon ve ileri yaş turizmiyle entegre edilerek bu bölgelerin markalaşması sağlanabilir.</w:t>
      </w:r>
    </w:p>
    <w:p>
      <w:r>
        <w:t>Sektör Temsilcilerine Yönelik Öneriler</w:t>
      </w:r>
    </w:p>
    <w:p>
      <w:r>
        <w:t>Etkili iletişim, uluslararası hasta memnuniyetinin temelidir. Bu nedenle sağlık kuruluşları, tüm personelinin yabancı dil yeterliliğini artırmak için sürekli eğitim programlarına yatırım yapmalıdır. Bu programlar sadece hekimleri değil; hemşire, hasta danışmanı, idari personel ve destek hizmetleri çalışanlarını da kapsamalıdır. Ayrıca, personelin kültürel farkındalığını artıracak ve farklı kültürlerden gelen hastalara hizmet verme becerisini geliştirecek eğitimler düzenlenmelidir.</w:t>
      </w:r>
    </w:p>
    <w:p>
      <w:r>
        <w:t>Sağlık kuruluşları, potansiyel hastalara ulaşmak ve hizmet süreçlerini kolaylaştırmak için dijital teknolojileri daha etkin kullanmalıdır. Web siteleri ve sosyal medya hesapları çok dilli, kullanıcı dostu ve bilgilendirici olmalıdır. Tele-tıp (uzaktan sağlık) uygulamaları yaygınlaştırılmalıdır. Bu uygulamalar tedavi öncesi konsültasyon ve tedavi sonrası takip süreçlerinde kullanılarak hem hasta güvenini artırabilir hem de operasyonel verimlilik sağlayabilir.</w:t>
      </w:r>
    </w:p>
    <w:p>
      <w:r>
        <w:t>Sağlık turistlerinin ortalama kalış süresini ve kişi başı harcamasını artırmak için bütüncül paketler oluşturulmalıdır. Sunulan tıbbi hizmetler; konaklama, sağlıklı beslenme, rehabilitasyon, SPA-wellness ve kültürel gezi gibi tamamlayıcı hizmetlerle entegre edilmelidir. Bu yaklaşım, Türkiye'nin hem bir tedavi merkezi hem de bir iyileşme ve yenilenme destinasyonu olarak konumlanmasını sağlayacaktır.</w:t>
      </w:r>
    </w:p>
    <w:p>
      <w:r>
        <w:t>Gelecekteki Araştırmalara Yönelik Öneriler</w:t>
      </w:r>
    </w:p>
    <w:p>
      <w:r>
        <w:t>Bu tez, konuyu mevcut literatür temelinde bütüncül bir çerçevede incelemiştir. Sektörün dinamik yapısı ve karmaşıklığı, gelecekteki çalışmalar için yeni araştırma alanları açmaktadır.</w:t>
      </w:r>
    </w:p>
    <w:p>
      <w:r>
        <w:t>Sağlık turizminin ekonomik etkilerini daha hassas ölçmek için ileri ekonometrik yöntemler kullanılabilir. Örneğin, Turizm Uydu Hesapları (TSA) verilerine dayalı girdi-çıktı analizi veya hesaplanabilir genel denge modelleri ile sektörün gelir, istihdam ve üretim çarpanları hesaplanabilir.</w:t>
      </w:r>
    </w:p>
    <w:p>
      <w:r>
        <w:t>Bu çalışma ikincil verilere dayanmaktadır. Gelecek çalışmalarda, anket ve mülakatlar yoluyla kapsamlı bir saha araştırması yapılabilir. Bu araştırma, Türkiye’ye gelen sağlık turistlerinin memnuniyet düzeylerini, seçim kriterlerini, yaşadıkları sorunları ve tedavi sonrası deneyimlerini ölçebilir. Böyle bir çalışma, sektörün zayıf yönlerinin doğrudan hasta perspektifinden tespit edilmesini sağlayacaktır.</w:t>
      </w:r>
    </w:p>
    <w:p>
      <w:r>
        <w:t>Sağlık turizminin kamu sağlık sistemi üzerindeki etkileri sosyo-ekonomik bir analizle incelenebilir. Bu etkiler arasında iç beyin göçü, hizmet kalitesi ve yerli halkın hizmete erişimi gibi konular yer alır. Böyle bir analiz, sektörün sosyal maliyet ve faydalarını daha dengeli bir şekilde ortaya koyacaktır.</w:t>
      </w:r>
    </w:p>
    <w:p>
      <w:r>
        <w:t>Türkiye’nin başlıca rakiplerinin (Hindistan, Tayland, Macaristan vb.) sağlık turizmi politika ve stratejileri incelenmelidir. Bu tür karşılaştırmalı bir analiz, Türkiye’nin rekabet avantajını sürdürmesi için yeni politika önerileri geliştirilmesine yardımcı olabilir.</w:t>
      </w:r>
    </w:p>
    <w:p>
      <w:r>
        <w:br w:type="page"/>
      </w:r>
    </w:p>
    <w:p>
      <w:pPr>
        <w:pStyle w:val="Heading1"/>
      </w:pPr>
      <w:r>
        <w:t>KAYNAKÇA</w:t>
      </w:r>
    </w:p>
    <w:p>
      <w:pPr>
        <w:ind w:left="709" w:hanging="709"/>
      </w:pPr>
      <w:r>
        <w:t xml:space="preserve">Akar, Y. ve Arıkan, C. (2023). Sağlık hizmetlerinde talebi etkileyen faktörler. </w:t>
      </w:r>
      <w:r>
        <w:rPr>
          <w:i/>
        </w:rPr>
        <w:t>ASHD</w:t>
      </w:r>
      <w:r>
        <w:t xml:space="preserve">, </w:t>
      </w:r>
      <w:r>
        <w:rPr>
          <w:i/>
        </w:rPr>
        <w:t>21</w:t>
      </w:r>
      <w:r>
        <w:t xml:space="preserve">(1), 1-21. </w:t>
      </w:r>
      <w:hyperlink r:id="rId12">
        <w:r>
          <w:rPr>
            <w:color w:val="0563C1"/>
            <w:u w:val="single"/>
          </w:rPr>
          <w:t xml:space="preserve">https://dergipark.org.tr/tr/download/article-file/2848698</w:t>
        </w:r>
      </w:hyperlink>
    </w:p>
    <w:p>
      <w:pPr>
        <w:ind w:left="709" w:hanging="709"/>
      </w:pPr>
      <w:r>
        <w:t xml:space="preserve">ARIKAN, G. (2017). </w:t>
      </w:r>
      <w:r>
        <w:rPr>
          <w:i/>
        </w:rPr>
        <w:t>Sağlık turizm kapsamında termal turizm tüketicilerinin termal turizme yönelik bakış açılarını içeren bir araştırma</w:t>
      </w:r>
      <w:r>
        <w:t xml:space="preserve"> [Yüksek lisans tezi, Gazi Üniversitesi Sosyal Bilimler Enstitüsü]. </w:t>
      </w:r>
      <w:hyperlink r:id="rId13">
        <w:r>
          <w:rPr>
            <w:color w:val="0563C1"/>
            <w:u w:val="single"/>
          </w:rPr>
          <w:t xml:space="preserve">https://apbseski.mersin.edu.tr/files/gamzearikan/Theses_001.pdf</w:t>
        </w:r>
      </w:hyperlink>
    </w:p>
    <w:p>
      <w:pPr>
        <w:ind w:left="709" w:hanging="709"/>
      </w:pPr>
      <w:r>
        <w:t xml:space="preserve">AVŞAR, M. (2024). An evaluation on the development and importance of health tourism in Türkiye. </w:t>
      </w:r>
      <w:r>
        <w:rPr>
          <w:i/>
        </w:rPr>
        <w:t>Journal of Gastronomy Hospitality and Travel (JOGHAT)</w:t>
      </w:r>
      <w:r>
        <w:t xml:space="preserve">, </w:t>
      </w:r>
      <w:r>
        <w:rPr>
          <w:i/>
        </w:rPr>
        <w:t>7</w:t>
      </w:r>
      <w:r>
        <w:t xml:space="preserve">(3). </w:t>
      </w:r>
      <w:hyperlink r:id="rId14">
        <w:r>
          <w:rPr>
            <w:color w:val="0563C1"/>
            <w:u w:val="single"/>
          </w:rPr>
          <w:t xml:space="preserve">https://doi.org/10.33083/joghat.2024.430</w:t>
        </w:r>
      </w:hyperlink>
    </w:p>
    <w:p>
      <w:pPr>
        <w:ind w:left="709" w:hanging="709"/>
      </w:pPr>
      <w:r>
        <w:t xml:space="preserve">BATBAYLI, Ş. (2021). </w:t>
      </w:r>
      <w:r>
        <w:rPr>
          <w:i/>
        </w:rPr>
        <w:t>Sağlık hizmeti ihracatı ve Türkiye örneği</w:t>
      </w:r>
      <w:r>
        <w:t xml:space="preserve">. Bursa Uludağ Üniversitesi. </w:t>
      </w:r>
      <w:hyperlink r:id="rId15">
        <w:r>
          <w:rPr>
            <w:color w:val="0563C1"/>
            <w:u w:val="single"/>
          </w:rPr>
          <w:t xml:space="preserve">https://acikerisim.uludag.edu.tr/server/api/core/bitstreams/c279d80f-fb6c-466f-a701-73aaf98e4e2f/content</w:t>
        </w:r>
      </w:hyperlink>
    </w:p>
    <w:p>
      <w:pPr>
        <w:ind w:left="709" w:hanging="709"/>
      </w:pPr>
      <w:r>
        <w:t xml:space="preserve">BEZİRGAN, M., Sarıoğlan, M., Avcıkurt, A. S. ve Sezen, T. S. (2025). </w:t>
      </w:r>
      <w:r>
        <w:rPr>
          <w:i/>
        </w:rPr>
        <w:t>Factors affecting tourist preferences: The example of health tourism</w:t>
      </w:r>
      <w:r>
        <w:t xml:space="preserve">. </w:t>
      </w:r>
      <w:hyperlink r:id="rId16">
        <w:r>
          <w:rPr>
            <w:color w:val="0563C1"/>
            <w:u w:val="single"/>
          </w:rPr>
          <w:t xml:space="preserve">https://bookchapter.org/kitaplar/Factors_Affecting_Tour.pdf</w:t>
        </w:r>
      </w:hyperlink>
    </w:p>
    <w:p>
      <w:pPr>
        <w:ind w:left="709" w:hanging="709"/>
      </w:pPr>
      <w:r>
        <w:t xml:space="preserve">BOSTAN, S. ve Yalçın, B. (2016). Sağlık turistlerinin medikal destinasyon seçimini etkileyen faktörler. </w:t>
      </w:r>
      <w:r>
        <w:rPr>
          <w:i/>
        </w:rPr>
        <w:t>Uluslararası Sosyal Araştırmalar Dergisi</w:t>
      </w:r>
      <w:r>
        <w:t xml:space="preserve">, </w:t>
      </w:r>
      <w:r>
        <w:rPr>
          <w:i/>
        </w:rPr>
        <w:t>9</w:t>
      </w:r>
      <w:r>
        <w:t xml:space="preserve">(43), 1729-1732. </w:t>
      </w:r>
      <w:hyperlink r:id="rId17">
        <w:r>
          <w:rPr>
            <w:color w:val="0563C1"/>
            <w:u w:val="single"/>
          </w:rPr>
          <w:t xml:space="preserve">https://www.sosyalarastirmalar.com/articles/factors-affecting-the-medical-destination-selection-of-health-tourists.pdf</w:t>
        </w:r>
      </w:hyperlink>
    </w:p>
    <w:p>
      <w:pPr>
        <w:ind w:left="709" w:hanging="709"/>
      </w:pPr>
      <w:r>
        <w:t xml:space="preserve">Coşkun, K. (2024). Sağlık turizmi ve ekonomik etkileri. İçinde </w:t>
      </w:r>
      <w:r>
        <w:rPr>
          <w:i/>
        </w:rPr>
        <w:t>Küresel Ekonomi ve İşletmeler: Geleceğin Trendleri</w:t>
      </w:r>
      <w:r>
        <w:t xml:space="preserve">. Küresel Ekonomi ve İşletmeler: Geleceğin Trendleri. </w:t>
      </w:r>
      <w:hyperlink r:id="rId18">
        <w:r>
          <w:rPr>
            <w:color w:val="0563C1"/>
            <w:u w:val="single"/>
          </w:rPr>
          <w:t xml:space="preserve">https://doi.org/10.58830/ozgur.pub565.c2525</w:t>
        </w:r>
      </w:hyperlink>
    </w:p>
    <w:p>
      <w:pPr>
        <w:ind w:left="709" w:hanging="709"/>
      </w:pPr>
      <w:r>
        <w:t xml:space="preserve">DEMİREL, S. ve Şahin, A. (2023). Türkiye sağlık turizminin finansal piyasalara etkisi. </w:t>
      </w:r>
      <w:r>
        <w:rPr>
          <w:i/>
        </w:rPr>
        <w:t>Uluslararası Ekonomi Siyaset İnsan ve Toplum Bilimleri Dergisi</w:t>
      </w:r>
      <w:r>
        <w:t xml:space="preserve">, </w:t>
      </w:r>
      <w:r>
        <w:rPr>
          <w:i/>
        </w:rPr>
        <w:t>6</w:t>
      </w:r>
      <w:r>
        <w:t xml:space="preserve">(4), 308-336. </w:t>
      </w:r>
      <w:hyperlink r:id="rId19">
        <w:r>
          <w:rPr>
            <w:color w:val="0563C1"/>
            <w:u w:val="single"/>
          </w:rPr>
          <w:t xml:space="preserve">https://doi.org/10.59445/ijephss.1328237</w:t>
        </w:r>
      </w:hyperlink>
    </w:p>
    <w:p>
      <w:pPr>
        <w:ind w:left="709" w:hanging="709"/>
      </w:pPr>
      <w:r>
        <w:t xml:space="preserve">Devlet Planlama Teşkilatı. (2001). </w:t>
      </w:r>
      <w:r>
        <w:rPr>
          <w:i/>
        </w:rPr>
        <w:t>Turizm özel ihtisas komisyonu raporu sekizinci beş yıllık kalkınma planı</w:t>
      </w:r>
      <w:r>
        <w:t xml:space="preserve">. </w:t>
      </w:r>
      <w:hyperlink r:id="rId20">
        <w:r>
          <w:rPr>
            <w:color w:val="0563C1"/>
            <w:u w:val="single"/>
          </w:rPr>
          <w:t xml:space="preserve">https://www.sbb.gov.tr/wp-content/uploads/2022/08/Sekizinci-Bes-Yillik-Kalkinma-Plani-Turizm-OIK-Raporu.pdf</w:t>
        </w:r>
      </w:hyperlink>
    </w:p>
    <w:p>
      <w:pPr>
        <w:ind w:left="709" w:hanging="709"/>
      </w:pPr>
      <w:r>
        <w:t xml:space="preserve">Eryer, A. (2024). Sağlık turizminin ekonomik boyutu: Türkiye üzerine bir değerlendirme. </w:t>
      </w:r>
      <w:r>
        <w:rPr>
          <w:i/>
        </w:rPr>
        <w:t>Journal of Economics and Research</w:t>
      </w:r>
      <w:r>
        <w:t xml:space="preserve">, </w:t>
      </w:r>
      <w:r>
        <w:rPr>
          <w:i/>
        </w:rPr>
        <w:t>5</w:t>
      </w:r>
      <w:r>
        <w:t xml:space="preserve">(1), 63-80. </w:t>
      </w:r>
      <w:hyperlink r:id="rId21">
        <w:r>
          <w:rPr>
            <w:color w:val="0563C1"/>
            <w:u w:val="single"/>
          </w:rPr>
          <w:t xml:space="preserve">https://doi.org/10.53280/jer.1415610</w:t>
        </w:r>
      </w:hyperlink>
    </w:p>
    <w:p>
      <w:pPr>
        <w:ind w:left="709" w:hanging="709"/>
      </w:pPr>
      <w:r>
        <w:t xml:space="preserve">GÜLENÇ, S. (2023). Sağlık turizminin tarihsel gelişim süreci (1923-2023). </w:t>
      </w:r>
      <w:r>
        <w:rPr>
          <w:i/>
        </w:rPr>
        <w:t>Anatolia: Turizm Araştırmaları Dergisi</w:t>
      </w:r>
      <w:r>
        <w:t xml:space="preserve">, </w:t>
      </w:r>
      <w:r>
        <w:rPr>
          <w:i/>
        </w:rPr>
        <w:t>34</w:t>
      </w:r>
      <w:r>
        <w:t xml:space="preserve">(3), 176-188. </w:t>
      </w:r>
      <w:hyperlink r:id="rId22">
        <w:r>
          <w:rPr>
            <w:color w:val="0563C1"/>
            <w:u w:val="single"/>
          </w:rPr>
          <w:t xml:space="preserve">https://doi.org/10.17123/atad.1308427</w:t>
        </w:r>
      </w:hyperlink>
    </w:p>
    <w:p>
      <w:pPr>
        <w:ind w:left="709" w:hanging="709"/>
      </w:pPr>
      <w:r>
        <w:t xml:space="preserve">İçöz, O. (2009). Sağlık turizmi kapsamında medikal (tıbbi) turizm ve Türkiye’nin olanakları. </w:t>
      </w:r>
      <w:r>
        <w:rPr>
          <w:i/>
        </w:rPr>
        <w:t>Journal of Yasar University</w:t>
      </w:r>
      <w:r>
        <w:t xml:space="preserve">, </w:t>
      </w:r>
      <w:r>
        <w:rPr>
          <w:i/>
        </w:rPr>
        <w:t>4</w:t>
      </w:r>
      <w:r>
        <w:t xml:space="preserve">(14), 2257-2279. </w:t>
      </w:r>
      <w:hyperlink r:id="rId23">
        <w:r>
          <w:rPr>
            <w:color w:val="0563C1"/>
            <w:u w:val="single"/>
          </w:rPr>
          <w:t xml:space="preserve">https://journal.yasar.edu.tr/wp-content/uploads/2012/08/09-icoz1.pdf</w:t>
        </w:r>
      </w:hyperlink>
    </w:p>
    <w:p>
      <w:pPr>
        <w:ind w:left="709" w:hanging="709"/>
      </w:pPr>
      <w:r>
        <w:t xml:space="preserve">IŞIK, M., Özsezer, Y. ve Işık, F. (2021). The current growth effect of health tourism market development in Turkey for the evaluation on current account deficit. </w:t>
      </w:r>
      <w:r>
        <w:rPr>
          <w:i/>
        </w:rPr>
        <w:t>IEDSR Association</w:t>
      </w:r>
      <w:r>
        <w:t xml:space="preserve">, </w:t>
      </w:r>
      <w:r>
        <w:rPr>
          <w:i/>
        </w:rPr>
        <w:t>6</w:t>
      </w:r>
      <w:r>
        <w:t xml:space="preserve">(11), 220-240. </w:t>
      </w:r>
      <w:hyperlink r:id="rId24">
        <w:r>
          <w:rPr>
            <w:color w:val="0563C1"/>
            <w:u w:val="single"/>
          </w:rPr>
          <w:t xml:space="preserve">https://doi.org/10.46872/pj.238</w:t>
        </w:r>
      </w:hyperlink>
    </w:p>
    <w:p>
      <w:pPr>
        <w:ind w:left="709" w:hanging="709"/>
      </w:pPr>
      <w:r>
        <w:t xml:space="preserve">KILAVUZ, E. (2018). Medical tourism competition: The case of Turkey. </w:t>
      </w:r>
      <w:r>
        <w:rPr>
          <w:i/>
        </w:rPr>
        <w:t>International Journal of Health Management and Tourism</w:t>
      </w:r>
      <w:r>
        <w:t xml:space="preserve">, </w:t>
      </w:r>
      <w:r>
        <w:rPr>
          <w:i/>
        </w:rPr>
        <w:t>3</w:t>
      </w:r>
      <w:r>
        <w:t xml:space="preserve">(1), 42-58. </w:t>
      </w:r>
      <w:hyperlink r:id="rId25">
        <w:r>
          <w:rPr>
            <w:color w:val="0563C1"/>
            <w:u w:val="single"/>
          </w:rPr>
          <w:t xml:space="preserve">https://doi.org/10.31201/ijhmt.372364</w:t>
        </w:r>
      </w:hyperlink>
    </w:p>
    <w:p>
      <w:pPr>
        <w:ind w:left="709" w:hanging="709"/>
      </w:pPr>
      <w:r>
        <w:t xml:space="preserve">KOSTAK, D. (2007). </w:t>
      </w:r>
      <w:r>
        <w:rPr>
          <w:i/>
        </w:rPr>
        <w:t>Turizm hareketleri (Türkiye örneği üzerinden sağlık turizmi)</w:t>
      </w:r>
      <w:r>
        <w:t xml:space="preserve"> [Yüksek lisans tezi, Marmara Üniversitesi Sosyal Bilimler Enstitüsü İktisat Anabilim Dalı Uluslararası İktisat Bilim Dalı]. </w:t>
      </w:r>
      <w:hyperlink r:id="rId26">
        <w:r>
          <w:rPr>
            <w:color w:val="0563C1"/>
            <w:u w:val="single"/>
          </w:rPr>
          <w:t xml:space="preserve">https://katalog.marmara.edu.tr/veriler/yordambt/cokluortam/2A/T0059305.pdf</w:t>
        </w:r>
      </w:hyperlink>
    </w:p>
    <w:p>
      <w:pPr>
        <w:ind w:left="709" w:hanging="709"/>
      </w:pPr>
      <w:r>
        <w:t xml:space="preserve">Kuzhan, K. ve Gönen, S. (2024). Türkiye sağlık turizmi ve pazarı üzerine bir değerlendirme. </w:t>
      </w:r>
      <w:r>
        <w:rPr>
          <w:i/>
        </w:rPr>
        <w:t>Kahramanmaraş Sütçü İmam Üniversitesi İktisadi ve İdari Bilimler Fakültesi Dergisi</w:t>
      </w:r>
      <w:r>
        <w:t xml:space="preserve">, </w:t>
      </w:r>
      <w:r>
        <w:rPr>
          <w:i/>
        </w:rPr>
        <w:t>14</w:t>
      </w:r>
      <w:r>
        <w:t xml:space="preserve">(1), 27-50. </w:t>
      </w:r>
      <w:hyperlink r:id="rId27">
        <w:r>
          <w:rPr>
            <w:color w:val="0563C1"/>
            <w:u w:val="single"/>
          </w:rPr>
          <w:t xml:space="preserve">https://doi.org/10.47147/ksuiibf.1382979</w:t>
        </w:r>
      </w:hyperlink>
    </w:p>
    <w:p>
      <w:pPr>
        <w:ind w:left="709" w:hanging="709"/>
      </w:pPr>
      <w:r>
        <w:t xml:space="preserve">Mert, G. (2013). Sağlık turizmi ve uygulanabilirliği. </w:t>
      </w:r>
      <w:r>
        <w:rPr>
          <w:i/>
        </w:rPr>
        <w:t>IAAOJ, Social Science</w:t>
      </w:r>
      <w:r>
        <w:t xml:space="preserve">, </w:t>
      </w:r>
      <w:r>
        <w:rPr>
          <w:i/>
        </w:rPr>
        <w:t>1</w:t>
      </w:r>
      <w:r>
        <w:t xml:space="preserve">(1), 103-126. </w:t>
      </w:r>
      <w:hyperlink r:id="rId28">
        <w:r>
          <w:rPr>
            <w:color w:val="0563C1"/>
            <w:u w:val="single"/>
          </w:rPr>
          <w:t xml:space="preserve">https://iaaoj.org/dergi/sbd0105.pdf</w:t>
        </w:r>
      </w:hyperlink>
    </w:p>
    <w:p>
      <w:pPr>
        <w:ind w:left="709" w:hanging="709"/>
      </w:pPr>
      <w:r>
        <w:t xml:space="preserve">OKUR, F. ve Ergül, M. (2025). Sağlık turizminin ekonomik etkisinin değerlendirilmesi: Sektörel bir analiz. </w:t>
      </w:r>
      <w:r>
        <w:rPr>
          <w:i/>
        </w:rPr>
        <w:t>3. Sektör Sosyal Ekonomi Dergisi</w:t>
      </w:r>
      <w:r>
        <w:t xml:space="preserve">. </w:t>
      </w:r>
      <w:hyperlink r:id="rId29">
        <w:r>
          <w:rPr>
            <w:color w:val="0563C1"/>
            <w:u w:val="single"/>
          </w:rPr>
          <w:t xml:space="preserve">https://doi.org/10.15659/3.sektor-sosyal-ekonomi.25.03.2501</w:t>
        </w:r>
      </w:hyperlink>
    </w:p>
    <w:p>
      <w:pPr>
        <w:ind w:left="709" w:hanging="709"/>
      </w:pPr>
      <w:r>
        <w:t xml:space="preserve">Omay, E. G. G. ve Cengiz, E. (2013). Health tourism in Turkey: Opportunities and threats. </w:t>
      </w:r>
      <w:r>
        <w:rPr>
          <w:i/>
        </w:rPr>
        <w:t>Mediterranean Journal of Social Sciences</w:t>
      </w:r>
      <w:r>
        <w:t xml:space="preserve">. </w:t>
      </w:r>
      <w:hyperlink r:id="rId30">
        <w:r>
          <w:rPr>
            <w:color w:val="0563C1"/>
            <w:u w:val="single"/>
          </w:rPr>
          <w:t xml:space="preserve">https://doi.org/10.5901/mjss.2013.v4n10p424</w:t>
        </w:r>
      </w:hyperlink>
    </w:p>
    <w:p>
      <w:pPr>
        <w:ind w:left="709" w:hanging="709"/>
      </w:pPr>
      <w:r>
        <w:t xml:space="preserve">Sancar, T. ve Başaran, Ş. (2025). </w:t>
      </w:r>
      <w:r>
        <w:rPr>
          <w:i/>
        </w:rPr>
        <w:t>Türkiye ve Dünyada Sağlık Turizminin Gelişimi</w:t>
      </w:r>
      <w:r>
        <w:t xml:space="preserve">. Özgür Yayınları. </w:t>
      </w:r>
      <w:hyperlink r:id="rId31">
        <w:r>
          <w:rPr>
            <w:color w:val="0563C1"/>
            <w:u w:val="single"/>
          </w:rPr>
          <w:t xml:space="preserve">https://doi.org/10.58830/ozgur.pub929</w:t>
        </w:r>
      </w:hyperlink>
    </w:p>
    <w:p>
      <w:pPr>
        <w:ind w:left="709" w:hanging="709"/>
      </w:pPr>
      <w:r>
        <w:t xml:space="preserve">SARI ÇALLI, D. (2015). Turizm yazınında teorik çerçevede yaşanan tartışmalar ve turizmoloji üzerine nitel bir değerlendirme. </w:t>
      </w:r>
      <w:r>
        <w:rPr>
          <w:i/>
        </w:rPr>
        <w:t>Kastamonu Üniversitesi İktisadi ve İdari Bilimler Fakültesi Dergisi</w:t>
      </w:r>
      <w:r>
        <w:t xml:space="preserve">, (7), 135-138. </w:t>
      </w:r>
      <w:hyperlink r:id="rId32">
        <w:r>
          <w:rPr>
            <w:color w:val="0563C1"/>
            <w:u w:val="single"/>
          </w:rPr>
          <w:t xml:space="preserve">https://dergipark.org.tr/en/download/article-file/304931</w:t>
        </w:r>
      </w:hyperlink>
    </w:p>
    <w:p>
      <w:pPr>
        <w:ind w:left="709" w:hanging="709"/>
      </w:pPr>
      <w:r>
        <w:t xml:space="preserve">Solak, M. ve Şeker, M. (2011). </w:t>
      </w:r>
      <w:r>
        <w:rPr>
          <w:i/>
        </w:rPr>
        <w:t>Küresel salgın sonrası sağlık turizminin geleceği ve Türkiye’nin önündeki fırsatlar</w:t>
      </w:r>
      <w:r>
        <w:t xml:space="preserve"> (s. 602-604). </w:t>
      </w:r>
      <w:hyperlink r:id="rId33">
        <w:r>
          <w:rPr>
            <w:color w:val="0563C1"/>
            <w:u w:val="single"/>
          </w:rPr>
          <w:t xml:space="preserve">https://www.tuba.gov.tr/files/yayinlar/bilim-ve-dusun/TUBA-978-605-2249-46-8_Ch27.pdf</w:t>
        </w:r>
      </w:hyperlink>
    </w:p>
    <w:p>
      <w:pPr>
        <w:ind w:left="709" w:hanging="709"/>
      </w:pPr>
      <w:r>
        <w:t xml:space="preserve">SONĞUR, C., Top, M. ve Tekingündüz, S. (t.y.). Sağlık sektöründe GZFT (Güçlü-Zayıf Yönler-Fırsatlar-Tehditler) analizi. </w:t>
      </w:r>
      <w:r>
        <w:rPr>
          <w:i/>
        </w:rPr>
        <w:t>Sağlıkta Performans ve Kalite Dergisi</w:t>
      </w:r>
      <w:r>
        <w:t xml:space="preserve">, 69-72. </w:t>
      </w:r>
      <w:hyperlink r:id="rId34">
        <w:r>
          <w:rPr>
            <w:color w:val="0563C1"/>
            <w:u w:val="single"/>
          </w:rPr>
          <w:t xml:space="preserve">https://dergipark.org.tr/tr/download/article-file/303530</w:t>
        </w:r>
      </w:hyperlink>
    </w:p>
    <w:p>
      <w:pPr>
        <w:ind w:left="709" w:hanging="709"/>
      </w:pPr>
      <w:r>
        <w:t xml:space="preserve">Sözeri, P. (2020). </w:t>
      </w:r>
      <w:r>
        <w:rPr>
          <w:i/>
        </w:rPr>
        <w:t>Kuzey Kıbrıs Türk Cumhuriyeti’nde Sağlık Çalışanlarının Sağlık Turizmi Algılarının Değerlendirilmesi: Özel Hastaneler Üzerine Bir Uygulama</w:t>
      </w:r>
      <w:r>
        <w:t xml:space="preserve"> [Yüksek lisans tezi, Doğu Akdeniz Üniversitesi]. </w:t>
      </w:r>
      <w:hyperlink r:id="rId35">
        <w:r>
          <w:rPr>
            <w:color w:val="0563C1"/>
            <w:u w:val="single"/>
          </w:rPr>
          <w:t xml:space="preserve">https://i-rep.emu.edu.tr/bitstreams/474b71ad-8095-4cf5-be07-d00661d996dc/download</w:t>
        </w:r>
      </w:hyperlink>
    </w:p>
    <w:p>
      <w:pPr>
        <w:ind w:left="709" w:hanging="709"/>
      </w:pPr>
      <w:r>
        <w:t xml:space="preserve">ŞAHİN, M., İnan Sarıca, G., Hacımustafaoğlu, M. F. ve Demirok, Y. (2026). </w:t>
      </w:r>
      <w:r>
        <w:rPr>
          <w:i/>
        </w:rPr>
        <w:t>TR21 düzey 2 bölgesi sağlık turizmi etki analizi</w:t>
      </w:r>
      <w:r>
        <w:t xml:space="preserve">. Trakya Kalkınma Ajansı. </w:t>
      </w:r>
      <w:hyperlink r:id="rId36">
        <w:r>
          <w:rPr>
            <w:color w:val="0563C1"/>
            <w:u w:val="single"/>
          </w:rPr>
          <w:t xml:space="preserve">https://www.kalkinmakutuphanesi.gov.tr/assets/upload/dosyalar/o_1jqlgvr4m9tn1beb1cpnvgr1h6fc.pdf</w:t>
        </w:r>
      </w:hyperlink>
    </w:p>
    <w:p>
      <w:pPr>
        <w:ind w:left="709" w:hanging="709"/>
      </w:pPr>
      <w:r>
        <w:t xml:space="preserve">Tamer, G. (2026). Sağlık turizminin dünyadaki ve Türkiye’deki önemi ve Türkiye’nin Swot analizi. </w:t>
      </w:r>
      <w:r>
        <w:rPr>
          <w:i/>
        </w:rPr>
        <w:t>International Social Sciences Studies Journal</w:t>
      </w:r>
      <w:r>
        <w:t xml:space="preserve">, </w:t>
      </w:r>
      <w:r>
        <w:rPr>
          <w:i/>
        </w:rPr>
        <w:t>12</w:t>
      </w:r>
      <w:r>
        <w:t xml:space="preserve">(3), 456-464. </w:t>
      </w:r>
      <w:hyperlink r:id="rId37">
        <w:r>
          <w:rPr>
            <w:color w:val="0563C1"/>
            <w:u w:val="single"/>
          </w:rPr>
          <w:t xml:space="preserve">https://doi.org/10.5281/zenodo.19291423</w:t>
        </w:r>
      </w:hyperlink>
    </w:p>
    <w:p>
      <w:pPr>
        <w:ind w:left="709" w:hanging="709"/>
      </w:pPr>
      <w:r>
        <w:t xml:space="preserve">TENGİLİMOĞLU, D. (2021). Sağlık turizmi ve devlet teşvikleri. </w:t>
      </w:r>
      <w:r>
        <w:rPr>
          <w:i/>
        </w:rPr>
        <w:t>Journal of Life Economics</w:t>
      </w:r>
      <w:r>
        <w:t xml:space="preserve">, </w:t>
      </w:r>
      <w:r>
        <w:rPr>
          <w:i/>
        </w:rPr>
        <w:t>8</w:t>
      </w:r>
      <w:r>
        <w:t xml:space="preserve">(1), 1-10. </w:t>
      </w:r>
      <w:hyperlink r:id="rId38">
        <w:r>
          <w:rPr>
            <w:color w:val="0563C1"/>
            <w:u w:val="single"/>
          </w:rPr>
          <w:t xml:space="preserve">https://doi.org/10.15637/jlecon.8.1.01</w:t>
        </w:r>
      </w:hyperlink>
    </w:p>
    <w:p>
      <w:pPr>
        <w:ind w:left="709" w:hanging="709"/>
      </w:pPr>
      <w:r>
        <w:t xml:space="preserve">TENGİLİMOĞLU, D. (Ed.). (2024). </w:t>
      </w:r>
      <w:r>
        <w:rPr>
          <w:i/>
        </w:rPr>
        <w:t>Sağlık turizmi</w:t>
      </w:r>
      <w:r>
        <w:t xml:space="preserve"> (4. bs.). Siyasal Kitabevi. </w:t>
      </w:r>
      <w:hyperlink r:id="rId39">
        <w:r>
          <w:rPr>
            <w:color w:val="0563C1"/>
            <w:u w:val="single"/>
          </w:rPr>
          <w:t xml:space="preserve">https://www.siyasalkitap.com/doc/509</w:t>
        </w:r>
      </w:hyperlink>
    </w:p>
    <w:p>
      <w:pPr>
        <w:ind w:left="709" w:hanging="709"/>
      </w:pPr>
      <w:r>
        <w:t xml:space="preserve">Toprakkale, E. K. ve Akın, M. H. (2025). Health tourism in Turkey: Developments, opportunities, and future perspectives. </w:t>
      </w:r>
      <w:r>
        <w:rPr>
          <w:i/>
        </w:rPr>
        <w:t>Journal of Tourism Intelligence and Smartness</w:t>
      </w:r>
      <w:r>
        <w:t xml:space="preserve">, </w:t>
      </w:r>
      <w:r>
        <w:rPr>
          <w:i/>
        </w:rPr>
        <w:t>8</w:t>
      </w:r>
      <w:r>
        <w:t xml:space="preserve">(2), 55-73. </w:t>
      </w:r>
      <w:hyperlink r:id="rId40">
        <w:r>
          <w:rPr>
            <w:color w:val="0563C1"/>
            <w:u w:val="single"/>
          </w:rPr>
          <w:t xml:space="preserve">https://doi.org/10.58636/jtis.1805780</w:t>
        </w:r>
      </w:hyperlink>
    </w:p>
    <w:p>
      <w:pPr>
        <w:ind w:left="709" w:hanging="709"/>
      </w:pPr>
      <w:r>
        <w:t xml:space="preserve">TURANCI, E. ve Eşiyok, E. (2021). Sağlık ve kültür ilişkisi bağlamında popüler sağlık dergilerinde sağlığın sunumu. </w:t>
      </w:r>
      <w:r>
        <w:rPr>
          <w:i/>
        </w:rPr>
        <w:t>İletişim Kuram ve Araştırma Dergisi</w:t>
      </w:r>
      <w:r>
        <w:t xml:space="preserve">, </w:t>
      </w:r>
      <w:r>
        <w:rPr>
          <w:i/>
        </w:rPr>
        <w:t>2021</w:t>
      </w:r>
      <w:r>
        <w:t xml:space="preserve">(54), 96-114. </w:t>
      </w:r>
      <w:hyperlink r:id="rId41">
        <w:r>
          <w:rPr>
            <w:color w:val="0563C1"/>
            <w:u w:val="single"/>
          </w:rPr>
          <w:t xml:space="preserve">https://doi.org/10.47998/ikad.903290</w:t>
        </w:r>
      </w:hyperlink>
    </w:p>
    <w:p>
      <w:pPr>
        <w:ind w:left="709" w:hanging="709"/>
      </w:pPr>
      <w:r>
        <w:t xml:space="preserve">Yıldız, A. (Ed.). (2020). </w:t>
      </w:r>
      <w:r>
        <w:rPr>
          <w:i/>
        </w:rPr>
        <w:t>Sağlık turizminde öne çıkan ülkeler: Sağlık sistemleri ve dünya sağlık turizmindeki yerleri</w:t>
      </w:r>
      <w:r>
        <w:t xml:space="preserve"> (1. bs.). Nobel Akademik Yayıncılık. </w:t>
      </w:r>
      <w:hyperlink r:id="rId42">
        <w:r>
          <w:rPr>
            <w:color w:val="0563C1"/>
            <w:u w:val="single"/>
          </w:rPr>
          <w:t xml:space="preserve">https://www.libraryturk.com/pdfshow-device?src=66/2020/9786257296199.pdf</w:t>
        </w:r>
      </w:hyperlink>
    </w:p>
    <w:p>
      <w:pPr>
        <w:ind w:left="709" w:hanging="709"/>
      </w:pPr>
      <w:r>
        <w:t xml:space="preserve">Collins, A., Medhekar, A., &amp; Şanal, Z. G. (2022). A qualitative analysis of Turkish stakeholders perspective for improving medical tourism. </w:t>
      </w:r>
      <w:r>
        <w:rPr>
          <w:i/>
        </w:rPr>
        <w:t>International Journal of Tourism Research</w:t>
      </w:r>
      <w:r>
        <w:t xml:space="preserve">, </w:t>
      </w:r>
      <w:r>
        <w:rPr>
          <w:i/>
        </w:rPr>
        <w:t>24</w:t>
      </w:r>
      <w:r>
        <w:t xml:space="preserve">(3), 487-500. </w:t>
      </w:r>
      <w:hyperlink r:id="rId43">
        <w:r>
          <w:rPr>
            <w:color w:val="0563C1"/>
            <w:u w:val="single"/>
          </w:rPr>
          <w:t xml:space="preserve">https://doi.org/10.1002/jtr.2516</w:t>
        </w:r>
      </w:hyperlink>
    </w:p>
    <w:p>
      <w:pPr>
        <w:ind w:left="709" w:hanging="709"/>
      </w:pPr>
      <w:r>
        <w:t xml:space="preserve">Cunha, L. (n.d.). The definition and scope of tourism: A necessary inquiry. </w:t>
      </w:r>
      <w:r>
        <w:rPr>
          <w:i/>
        </w:rPr>
        <w:t>COGITUR</w:t>
      </w:r>
      <w:r>
        <w:t xml:space="preserve">, 91-94. </w:t>
      </w:r>
      <w:hyperlink r:id="rId44">
        <w:r>
          <w:rPr>
            <w:color w:val="0563C1"/>
            <w:u w:val="single"/>
          </w:rPr>
          <w:t xml:space="preserve">https://recil.ulusofona.pt/server/api/core/bitstreams/c8c4f8d3-6fc1-4acd-9030-39d24e59d179/content</w:t>
        </w:r>
      </w:hyperlink>
    </w:p>
    <w:p>
      <w:pPr>
        <w:ind w:left="709" w:hanging="709"/>
      </w:pPr>
      <w:r>
        <w:t xml:space="preserve">Exploring health tourism – Executive summary. (2018). World Tourism Organization (UNWTO). </w:t>
      </w:r>
      <w:hyperlink r:id="rId45">
        <w:r>
          <w:rPr>
            <w:color w:val="0563C1"/>
            <w:u w:val="single"/>
          </w:rPr>
          <w:t xml:space="preserve">https://doi.org/10.18111/9789284420308</w:t>
        </w:r>
      </w:hyperlink>
    </w:p>
    <w:p>
      <w:pPr>
        <w:ind w:left="709" w:hanging="709"/>
      </w:pPr>
      <w:r>
        <w:t xml:space="preserve">Hasanov, A., &amp; Kerim, G. (2018). Current situation of medical tourism under health tourism, potential and future: Evaluation of medical tourism in Turkey. </w:t>
      </w:r>
      <w:r>
        <w:rPr>
          <w:i/>
        </w:rPr>
        <w:t>International Journal of Economics, Commerce and Management</w:t>
      </w:r>
      <w:r>
        <w:t xml:space="preserve">, </w:t>
      </w:r>
      <w:r>
        <w:rPr>
          <w:i/>
        </w:rPr>
        <w:t>VI</w:t>
      </w:r>
      <w:r>
        <w:t xml:space="preserve">(11), 397-400. </w:t>
      </w:r>
      <w:hyperlink r:id="rId46">
        <w:r>
          <w:rPr>
            <w:color w:val="0563C1"/>
            <w:u w:val="single"/>
          </w:rPr>
          <w:t xml:space="preserve">https://ijecm.co.uk/wp-content/uploads/2018/11/61125.pdf</w:t>
        </w:r>
      </w:hyperlink>
    </w:p>
    <w:p>
      <w:pPr>
        <w:ind w:left="709" w:hanging="709"/>
      </w:pPr>
      <w:r>
        <w:t xml:space="preserve">Investing in medical and wellness tourism in the UAE. (2019). </w:t>
      </w:r>
      <w:hyperlink r:id="rId47">
        <w:r>
          <w:rPr>
            <w:color w:val="0563C1"/>
            <w:u w:val="single"/>
          </w:rPr>
          <w:t xml:space="preserve">https://www.moet.gov.ae/documents/20121/0/2022+01+28_+Medical+Tourism+Investment+Heatmap_Final+new.pdf/a194cf47-8430-c3e9-1e56-7957d7316f7e?t=1649056725849</w:t>
        </w:r>
      </w:hyperlink>
    </w:p>
    <w:p>
      <w:pPr>
        <w:ind w:left="709" w:hanging="709"/>
      </w:pPr>
      <w:r>
        <w:t xml:space="preserve">Lunt, N., Smith, R., Exworthy, M., Green, S. T., Horsfall, D., &amp; Mannion, R. (2012). </w:t>
      </w:r>
      <w:r>
        <w:rPr>
          <w:i/>
        </w:rPr>
        <w:t>Medical tourism: Treatments, markets and health system implications: A scoping review</w:t>
      </w:r>
      <w:r>
        <w:t xml:space="preserve">. Directorate for Employment, Labour and Social Affairs. </w:t>
      </w:r>
      <w:hyperlink r:id="rId48">
        <w:r>
          <w:rPr>
            <w:color w:val="0563C1"/>
            <w:u w:val="single"/>
          </w:rPr>
          <w:t xml:space="preserve">https://www.globalwellnesssummit.com/wp-content/uploads/Industry-Research/Global/2012-oecd-medical-tourism.pdf</w:t>
        </w:r>
      </w:hyperlink>
    </w:p>
    <w:p>
      <w:pPr>
        <w:ind w:left="709" w:hanging="709"/>
      </w:pPr>
      <w:r>
        <w:t xml:space="preserve">Mainil, T., Eijgelaar, E., Klijs, J., Nawijn, J., &amp; Peeters, P. (2017). </w:t>
      </w:r>
      <w:r>
        <w:rPr>
          <w:i/>
        </w:rPr>
        <w:t>Research for TRAN Committee - Health tourism in the EU: A general investigation</w:t>
      </w:r>
      <w:r>
        <w:t xml:space="preserve">. European Parliament, Policy Department for Structural and Cohesion Policies. </w:t>
      </w:r>
      <w:hyperlink r:id="rId49">
        <w:r>
          <w:rPr>
            <w:color w:val="0563C1"/>
            <w:u w:val="single"/>
          </w:rPr>
          <w:t xml:space="preserve">https://doi.org/10.2861/072</w:t>
        </w:r>
      </w:hyperlink>
    </w:p>
    <w:p>
      <w:pPr>
        <w:ind w:left="709" w:hanging="709"/>
      </w:pPr>
      <w:r>
        <w:t xml:space="preserve">Tejeida-Padilla, R., Pino-Meza, J., Morales-Matamoros, O., &amp; Santos-Reyes, J. (1997). </w:t>
      </w:r>
      <w:r>
        <w:rPr>
          <w:i/>
        </w:rPr>
        <w:t>Systemic analysis of the tourism and health relationship</w:t>
      </w:r>
      <w:r>
        <w:t xml:space="preserve">. Instituto Politécnico Nacional, México. </w:t>
      </w:r>
      <w:hyperlink r:id="rId50">
        <w:r>
          <w:rPr>
            <w:color w:val="0563C1"/>
            <w:u w:val="single"/>
          </w:rPr>
          <w:t xml:space="preserve">https://journals.isss.org/index.php/proceedings50th/article/download/363/175/1997</w:t>
        </w:r>
      </w:hyperlink>
    </w:p>
    <w:p>
      <w:pPr>
        <w:ind w:left="709" w:hanging="709"/>
      </w:pPr>
      <w:r>
        <w:t xml:space="preserve">Vellas, F. (2011). </w:t>
      </w:r>
      <w:r>
        <w:rPr>
          <w:i/>
        </w:rPr>
        <w:t>The indirect impact of tourism: An economic analysis</w:t>
      </w:r>
      <w:r>
        <w:t xml:space="preserve">. Toulouse University – TED AFL. </w:t>
      </w:r>
      <w:hyperlink r:id="rId51">
        <w:r>
          <w:rPr>
            <w:color w:val="0563C1"/>
            <w:u w:val="single"/>
          </w:rPr>
          <w:t xml:space="preserve">https://webunwto.s3.amazonaws.com/imported_images/28700/111020-rapport_vellas_en.pdf</w:t>
        </w:r>
      </w:hyperlink>
    </w:p>
    <w:sectPr w:rsidR="00FC693F" w:rsidRPr="0006063C" w:rsidSect="00034616">
      <w:footerReference w:type="default" r:id="rId52"/>
      <w:pgSz w:w="11906" w:h="16838"/>
      <w:pgMar w:top="1701" w:right="1417"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4"/>
      <w:lang w:val="tr-TR" w:bidi="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8220" w:val="right" w:leader="dot"/>
      </w:tabs>
      <w:spacing w:after="80" w:before="40"/>
      <w:ind w:left="0" w:firstLine="0"/>
    </w:pPr>
    <w:rPr>
      <w:rFonts w:ascii="Times New Roman" w:hAnsi="Times New Roman"/>
      <w:b w:val="0"/>
      <w:sz w:val="24"/>
    </w:rPr>
  </w:style>
  <w:style w:type="paragraph" w:customStyle="1" w:styleId="TOC2">
    <w:name w:val="TOC 2"/>
    <w:pPr>
      <w:tabs>
        <w:tab w:pos="7654"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s://dergipark.org.tr/tr/download/article-file/2848698" TargetMode="External"/><Relationship Id="rId13" Type="http://schemas.openxmlformats.org/officeDocument/2006/relationships/hyperlink" Target="https://apbseski.mersin.edu.tr/files/gamzearikan/Theses_001.pdf" TargetMode="External"/><Relationship Id="rId14" Type="http://schemas.openxmlformats.org/officeDocument/2006/relationships/hyperlink" Target="https://doi.org/10.33083/joghat.2024.430" TargetMode="External"/><Relationship Id="rId15" Type="http://schemas.openxmlformats.org/officeDocument/2006/relationships/hyperlink" Target="https://acikerisim.uludag.edu.tr/server/api/core/bitstreams/c279d80f-fb6c-466f-a701-73aaf98e4e2f/content" TargetMode="External"/><Relationship Id="rId16" Type="http://schemas.openxmlformats.org/officeDocument/2006/relationships/hyperlink" Target="https://bookchapter.org/kitaplar/Factors_Affecting_Tour.pdf" TargetMode="External"/><Relationship Id="rId17" Type="http://schemas.openxmlformats.org/officeDocument/2006/relationships/hyperlink" Target="https://www.sosyalarastirmalar.com/articles/factors-affecting-the-medical-destination-selection-of-health-tourists.pdf" TargetMode="External"/><Relationship Id="rId18" Type="http://schemas.openxmlformats.org/officeDocument/2006/relationships/hyperlink" Target="https://doi.org/10.58830/ozgur.pub565.c2525" TargetMode="External"/><Relationship Id="rId19" Type="http://schemas.openxmlformats.org/officeDocument/2006/relationships/hyperlink" Target="https://doi.org/10.59445/ijephss.1328237" TargetMode="External"/><Relationship Id="rId20" Type="http://schemas.openxmlformats.org/officeDocument/2006/relationships/hyperlink" Target="https://www.sbb.gov.tr/wp-content/uploads/2022/08/Sekizinci-Bes-Yillik-Kalkinma-Plani-Turizm-OIK-Raporu.pdf" TargetMode="External"/><Relationship Id="rId21" Type="http://schemas.openxmlformats.org/officeDocument/2006/relationships/hyperlink" Target="https://doi.org/10.53280/jer.1415610" TargetMode="External"/><Relationship Id="rId22" Type="http://schemas.openxmlformats.org/officeDocument/2006/relationships/hyperlink" Target="https://doi.org/10.17123/atad.1308427" TargetMode="External"/><Relationship Id="rId23" Type="http://schemas.openxmlformats.org/officeDocument/2006/relationships/hyperlink" Target="https://journal.yasar.edu.tr/wp-content/uploads/2012/08/09-icoz1.pdf" TargetMode="External"/><Relationship Id="rId24" Type="http://schemas.openxmlformats.org/officeDocument/2006/relationships/hyperlink" Target="https://doi.org/10.46872/pj.238" TargetMode="External"/><Relationship Id="rId25" Type="http://schemas.openxmlformats.org/officeDocument/2006/relationships/hyperlink" Target="https://doi.org/10.31201/ijhmt.372364" TargetMode="External"/><Relationship Id="rId26" Type="http://schemas.openxmlformats.org/officeDocument/2006/relationships/hyperlink" Target="https://katalog.marmara.edu.tr/veriler/yordambt/cokluortam/2A/T0059305.pdf" TargetMode="External"/><Relationship Id="rId27" Type="http://schemas.openxmlformats.org/officeDocument/2006/relationships/hyperlink" Target="https://doi.org/10.47147/ksuiibf.1382979" TargetMode="External"/><Relationship Id="rId28" Type="http://schemas.openxmlformats.org/officeDocument/2006/relationships/hyperlink" Target="https://iaaoj.org/dergi/sbd0105.pdf" TargetMode="External"/><Relationship Id="rId29" Type="http://schemas.openxmlformats.org/officeDocument/2006/relationships/hyperlink" Target="https://doi.org/10.15659/3.sektor-sosyal-ekonomi.25.03.2501" TargetMode="External"/><Relationship Id="rId30" Type="http://schemas.openxmlformats.org/officeDocument/2006/relationships/hyperlink" Target="https://doi.org/10.5901/mjss.2013.v4n10p424" TargetMode="External"/><Relationship Id="rId31" Type="http://schemas.openxmlformats.org/officeDocument/2006/relationships/hyperlink" Target="https://doi.org/10.58830/ozgur.pub929" TargetMode="External"/><Relationship Id="rId32" Type="http://schemas.openxmlformats.org/officeDocument/2006/relationships/hyperlink" Target="https://dergipark.org.tr/en/download/article-file/304931" TargetMode="External"/><Relationship Id="rId33" Type="http://schemas.openxmlformats.org/officeDocument/2006/relationships/hyperlink" Target="https://www.tuba.gov.tr/files/yayinlar/bilim-ve-dusun/TUBA-978-605-2249-46-8_Ch27.pdf" TargetMode="External"/><Relationship Id="rId34" Type="http://schemas.openxmlformats.org/officeDocument/2006/relationships/hyperlink" Target="https://dergipark.org.tr/tr/download/article-file/303530" TargetMode="External"/><Relationship Id="rId35" Type="http://schemas.openxmlformats.org/officeDocument/2006/relationships/hyperlink" Target="https://i-rep.emu.edu.tr/bitstreams/474b71ad-8095-4cf5-be07-d00661d996dc/download" TargetMode="External"/><Relationship Id="rId36" Type="http://schemas.openxmlformats.org/officeDocument/2006/relationships/hyperlink" Target="https://www.kalkinmakutuphanesi.gov.tr/assets/upload/dosyalar/o_1jqlgvr4m9tn1beb1cpnvgr1h6fc.pdf" TargetMode="External"/><Relationship Id="rId37" Type="http://schemas.openxmlformats.org/officeDocument/2006/relationships/hyperlink" Target="https://doi.org/10.5281/zenodo.19291423" TargetMode="External"/><Relationship Id="rId38" Type="http://schemas.openxmlformats.org/officeDocument/2006/relationships/hyperlink" Target="https://doi.org/10.15637/jlecon.8.1.01" TargetMode="External"/><Relationship Id="rId39" Type="http://schemas.openxmlformats.org/officeDocument/2006/relationships/hyperlink" Target="https://www.siyasalkitap.com/doc/509" TargetMode="External"/><Relationship Id="rId40" Type="http://schemas.openxmlformats.org/officeDocument/2006/relationships/hyperlink" Target="https://doi.org/10.58636/jtis.1805780" TargetMode="External"/><Relationship Id="rId41" Type="http://schemas.openxmlformats.org/officeDocument/2006/relationships/hyperlink" Target="https://doi.org/10.47998/ikad.903290" TargetMode="External"/><Relationship Id="rId42" Type="http://schemas.openxmlformats.org/officeDocument/2006/relationships/hyperlink" Target="https://www.libraryturk.com/pdfshow-device?src=66/2020/9786257296199.pdf" TargetMode="External"/><Relationship Id="rId43" Type="http://schemas.openxmlformats.org/officeDocument/2006/relationships/hyperlink" Target="https://doi.org/10.1002/jtr.2516" TargetMode="External"/><Relationship Id="rId44" Type="http://schemas.openxmlformats.org/officeDocument/2006/relationships/hyperlink" Target="https://recil.ulusofona.pt/server/api/core/bitstreams/c8c4f8d3-6fc1-4acd-9030-39d24e59d179/content" TargetMode="External"/><Relationship Id="rId45" Type="http://schemas.openxmlformats.org/officeDocument/2006/relationships/hyperlink" Target="https://doi.org/10.18111/9789284420308" TargetMode="External"/><Relationship Id="rId46" Type="http://schemas.openxmlformats.org/officeDocument/2006/relationships/hyperlink" Target="https://ijecm.co.uk/wp-content/uploads/2018/11/61125.pdf" TargetMode="External"/><Relationship Id="rId47" Type="http://schemas.openxmlformats.org/officeDocument/2006/relationships/hyperlink" Target="https://www.moet.gov.ae/documents/20121/0/2022+01+28_+Medical+Tourism+Investment+Heatmap_Final+new.pdf/a194cf47-8430-c3e9-1e56-7957d7316f7e?t=1649056725849" TargetMode="External"/><Relationship Id="rId48" Type="http://schemas.openxmlformats.org/officeDocument/2006/relationships/hyperlink" Target="https://www.globalwellnesssummit.com/wp-content/uploads/Industry-Research/Global/2012-oecd-medical-tourism.pdf" TargetMode="External"/><Relationship Id="rId49" Type="http://schemas.openxmlformats.org/officeDocument/2006/relationships/hyperlink" Target="https://doi.org/10.2861/072" TargetMode="External"/><Relationship Id="rId50" Type="http://schemas.openxmlformats.org/officeDocument/2006/relationships/hyperlink" Target="https://journals.isss.org/index.php/proceedings50th/article/download/363/175/1997" TargetMode="External"/><Relationship Id="rId51" Type="http://schemas.openxmlformats.org/officeDocument/2006/relationships/hyperlink" Target="https://webunwto.s3.amazonaws.com/imported_images/28700/111020-rapport_vellas_en.pdf"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